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077A5" w:rsidRDefault="001077A5" w:rsidP="001077A5">
      <w:pPr>
        <w:ind w:right="-205"/>
        <w:jc w:val="center"/>
      </w:pPr>
      <w:r w:rsidRPr="00B10735">
        <w:rPr>
          <w:noProof/>
          <w:sz w:val="20"/>
          <w:szCs w:val="20"/>
          <w:lang w:eastAsia="en-AU"/>
        </w:rPr>
        <w:drawing>
          <wp:inline distT="0" distB="0" distL="0" distR="0" wp14:anchorId="56EE6DF1" wp14:editId="13FC988F">
            <wp:extent cx="2691245" cy="914400"/>
            <wp:effectExtent l="0" t="0" r="1270" b="0"/>
            <wp:docPr id="3"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6486" cy="916181"/>
                    </a:xfrm>
                    <a:prstGeom prst="rect">
                      <a:avLst/>
                    </a:prstGeom>
                    <a:noFill/>
                    <a:ln>
                      <a:noFill/>
                    </a:ln>
                  </pic:spPr>
                </pic:pic>
              </a:graphicData>
            </a:graphic>
          </wp:inline>
        </w:drawing>
      </w:r>
    </w:p>
    <w:p w:rsidR="001077A5" w:rsidRPr="00164063" w:rsidRDefault="001077A5" w:rsidP="001077A5">
      <w:pPr>
        <w:ind w:right="-205"/>
        <w:rPr>
          <w:rFonts w:ascii="Cambria" w:hAnsi="Cambria"/>
          <w:color w:val="000000" w:themeColor="text1"/>
        </w:rPr>
      </w:pPr>
    </w:p>
    <w:p w:rsidR="001077A5" w:rsidRPr="00164063" w:rsidRDefault="001077A5" w:rsidP="001077A5">
      <w:pPr>
        <w:ind w:right="-205"/>
        <w:rPr>
          <w:rFonts w:ascii="Cambria" w:hAnsi="Cambria"/>
          <w:color w:val="000000" w:themeColor="text1"/>
        </w:rPr>
      </w:pPr>
    </w:p>
    <w:p w:rsidR="001077A5" w:rsidRPr="00164063" w:rsidRDefault="001077A5" w:rsidP="001077A5">
      <w:pPr>
        <w:ind w:right="-205"/>
        <w:rPr>
          <w:rFonts w:ascii="Cambria" w:hAnsi="Cambria"/>
          <w:color w:val="000000" w:themeColor="text1"/>
        </w:rPr>
      </w:pPr>
      <w:r w:rsidRPr="00164063">
        <w:rPr>
          <w:rFonts w:ascii="Cambria" w:hAnsi="Cambria"/>
          <w:color w:val="000000" w:themeColor="text1"/>
        </w:rPr>
        <w:t xml:space="preserve">27 </w:t>
      </w:r>
      <w:r w:rsidRPr="00164063">
        <w:rPr>
          <w:rFonts w:ascii="Cambria" w:hAnsi="Cambria"/>
          <w:color w:val="000000" w:themeColor="text1"/>
        </w:rPr>
        <w:t>August</w:t>
      </w:r>
      <w:r w:rsidRPr="00164063">
        <w:rPr>
          <w:rFonts w:ascii="Cambria" w:hAnsi="Cambria"/>
          <w:color w:val="000000" w:themeColor="text1"/>
        </w:rPr>
        <w:t xml:space="preserve"> 20</w:t>
      </w:r>
      <w:r w:rsidRPr="00164063">
        <w:rPr>
          <w:rFonts w:ascii="Cambria" w:hAnsi="Cambria"/>
          <w:color w:val="000000" w:themeColor="text1"/>
        </w:rPr>
        <w:t>20</w:t>
      </w:r>
    </w:p>
    <w:p w:rsidR="001077A5" w:rsidRPr="00164063" w:rsidRDefault="001077A5" w:rsidP="001077A5">
      <w:pPr>
        <w:ind w:right="-205"/>
        <w:rPr>
          <w:rFonts w:ascii="Cambria" w:hAnsi="Cambria"/>
          <w:color w:val="000000" w:themeColor="text1"/>
        </w:rPr>
      </w:pPr>
    </w:p>
    <w:p w:rsidR="001077A5" w:rsidRPr="00164063" w:rsidRDefault="001077A5" w:rsidP="001077A5">
      <w:pPr>
        <w:rPr>
          <w:rFonts w:ascii="Cambria" w:hAnsi="Cambria"/>
          <w:color w:val="000000" w:themeColor="text1"/>
        </w:rPr>
      </w:pPr>
      <w:r w:rsidRPr="00164063">
        <w:rPr>
          <w:rFonts w:ascii="Cambria" w:hAnsi="Cambria"/>
          <w:color w:val="000000" w:themeColor="text1"/>
        </w:rPr>
        <w:t xml:space="preserve">The Honourable </w:t>
      </w:r>
      <w:r w:rsidRPr="00164063">
        <w:rPr>
          <w:rFonts w:ascii="Cambria" w:hAnsi="Cambria"/>
          <w:color w:val="000000" w:themeColor="text1"/>
        </w:rPr>
        <w:t>Craig Farrell</w:t>
      </w:r>
    </w:p>
    <w:p w:rsidR="001077A5" w:rsidRPr="00164063" w:rsidRDefault="001077A5" w:rsidP="001077A5">
      <w:pPr>
        <w:rPr>
          <w:rFonts w:ascii="Cambria" w:hAnsi="Cambria"/>
          <w:color w:val="000000" w:themeColor="text1"/>
        </w:rPr>
      </w:pPr>
      <w:r w:rsidRPr="00164063">
        <w:rPr>
          <w:rFonts w:ascii="Cambria" w:hAnsi="Cambria"/>
          <w:color w:val="000000" w:themeColor="text1"/>
        </w:rPr>
        <w:t>President of the Legislative Council</w:t>
      </w:r>
    </w:p>
    <w:p w:rsidR="001077A5" w:rsidRPr="00164063" w:rsidRDefault="001077A5" w:rsidP="001077A5">
      <w:pPr>
        <w:rPr>
          <w:rFonts w:ascii="Cambria" w:hAnsi="Cambria"/>
          <w:color w:val="000000" w:themeColor="text1"/>
        </w:rPr>
      </w:pPr>
      <w:r w:rsidRPr="00164063">
        <w:rPr>
          <w:rFonts w:ascii="Cambria" w:hAnsi="Cambria"/>
          <w:color w:val="000000" w:themeColor="text1"/>
        </w:rPr>
        <w:t>Parliament House</w:t>
      </w:r>
    </w:p>
    <w:p w:rsidR="001077A5" w:rsidRPr="00164063" w:rsidRDefault="001077A5" w:rsidP="001077A5">
      <w:pPr>
        <w:rPr>
          <w:rFonts w:ascii="Cambria" w:hAnsi="Cambria"/>
          <w:color w:val="000000" w:themeColor="text1"/>
        </w:rPr>
      </w:pPr>
      <w:r w:rsidRPr="00164063">
        <w:rPr>
          <w:rFonts w:ascii="Cambria" w:hAnsi="Cambria"/>
          <w:color w:val="000000" w:themeColor="text1"/>
        </w:rPr>
        <w:t>Hobart TAS 7000</w:t>
      </w:r>
    </w:p>
    <w:p w:rsidR="001077A5" w:rsidRPr="00164063" w:rsidRDefault="001077A5" w:rsidP="001077A5">
      <w:pPr>
        <w:ind w:right="-205"/>
        <w:rPr>
          <w:rFonts w:ascii="Cambria" w:hAnsi="Cambria"/>
          <w:b/>
          <w:i/>
          <w:color w:val="000000" w:themeColor="text1"/>
        </w:rPr>
      </w:pPr>
      <w:r w:rsidRPr="00164063">
        <w:rPr>
          <w:rFonts w:ascii="Cambria" w:hAnsi="Cambria"/>
          <w:color w:val="000000" w:themeColor="text1"/>
        </w:rPr>
        <w:tab/>
      </w:r>
      <w:r w:rsidRPr="00164063">
        <w:rPr>
          <w:rFonts w:ascii="Cambria" w:hAnsi="Cambria"/>
          <w:color w:val="000000" w:themeColor="text1"/>
        </w:rPr>
        <w:tab/>
      </w:r>
      <w:r w:rsidRPr="00164063">
        <w:rPr>
          <w:rFonts w:ascii="Cambria" w:hAnsi="Cambria"/>
          <w:color w:val="000000" w:themeColor="text1"/>
        </w:rPr>
        <w:tab/>
      </w:r>
      <w:r w:rsidRPr="00164063">
        <w:rPr>
          <w:rFonts w:ascii="Cambria" w:hAnsi="Cambria"/>
          <w:b/>
          <w:i/>
          <w:color w:val="000000" w:themeColor="text1"/>
        </w:rPr>
        <w:t xml:space="preserve">via email: </w:t>
      </w:r>
      <w:hyperlink r:id="rId8" w:history="1">
        <w:r w:rsidR="00164063" w:rsidRPr="00001015">
          <w:rPr>
            <w:rStyle w:val="Hyperlink"/>
            <w:rFonts w:ascii="Cambria" w:hAnsi="Cambria"/>
            <w:i/>
          </w:rPr>
          <w:t>craig.farrell</w:t>
        </w:r>
        <w:r w:rsidR="00164063" w:rsidRPr="00001015">
          <w:rPr>
            <w:rStyle w:val="Hyperlink"/>
            <w:rFonts w:ascii="Cambria" w:hAnsi="Cambria"/>
            <w:i/>
          </w:rPr>
          <w:t>@parliament.tas.gov.au</w:t>
        </w:r>
      </w:hyperlink>
      <w:r w:rsidR="00164063">
        <w:rPr>
          <w:rFonts w:ascii="Cambria" w:hAnsi="Cambria"/>
          <w:i/>
          <w:color w:val="000000" w:themeColor="text1"/>
        </w:rPr>
        <w:t xml:space="preserve"> </w:t>
      </w:r>
    </w:p>
    <w:p w:rsidR="001077A5" w:rsidRPr="00164063" w:rsidRDefault="001077A5" w:rsidP="001077A5">
      <w:pPr>
        <w:ind w:right="-205"/>
        <w:rPr>
          <w:rFonts w:ascii="Cambria" w:hAnsi="Cambria"/>
          <w:b/>
          <w:i/>
          <w:color w:val="000000" w:themeColor="text1"/>
        </w:rPr>
      </w:pPr>
    </w:p>
    <w:p w:rsidR="001077A5" w:rsidRPr="00164063" w:rsidRDefault="001077A5" w:rsidP="001077A5">
      <w:pPr>
        <w:ind w:right="-64"/>
        <w:rPr>
          <w:rFonts w:ascii="Cambria" w:hAnsi="Cambria"/>
          <w:color w:val="000000" w:themeColor="text1"/>
        </w:rPr>
      </w:pPr>
      <w:r w:rsidRPr="00164063">
        <w:rPr>
          <w:rFonts w:ascii="Cambria" w:hAnsi="Cambria"/>
          <w:color w:val="000000" w:themeColor="text1"/>
        </w:rPr>
        <w:t xml:space="preserve">Dear </w:t>
      </w:r>
      <w:r w:rsidRPr="00164063">
        <w:rPr>
          <w:rFonts w:ascii="Cambria" w:hAnsi="Cambria"/>
          <w:color w:val="000000" w:themeColor="text1"/>
        </w:rPr>
        <w:t>Craig</w:t>
      </w:r>
      <w:r w:rsidRPr="00164063">
        <w:rPr>
          <w:rFonts w:ascii="Cambria" w:hAnsi="Cambria"/>
          <w:color w:val="000000" w:themeColor="text1"/>
        </w:rPr>
        <w:t>,</w:t>
      </w:r>
    </w:p>
    <w:p w:rsidR="001077A5" w:rsidRPr="00164063" w:rsidRDefault="001077A5" w:rsidP="001077A5">
      <w:pPr>
        <w:pBdr>
          <w:bottom w:val="single" w:sz="6" w:space="1" w:color="auto"/>
        </w:pBdr>
        <w:rPr>
          <w:rFonts w:ascii="Cambria" w:hAnsi="Cambria"/>
          <w:b/>
          <w:color w:val="000000" w:themeColor="text1"/>
        </w:rPr>
      </w:pPr>
      <w:r w:rsidRPr="00164063">
        <w:rPr>
          <w:rFonts w:ascii="Cambria" w:hAnsi="Cambria"/>
          <w:b/>
          <w:color w:val="000000" w:themeColor="text1"/>
        </w:rPr>
        <w:t xml:space="preserve">Re: </w:t>
      </w:r>
      <w:r w:rsidRPr="00164063">
        <w:rPr>
          <w:rFonts w:ascii="Cambria" w:hAnsi="Cambria"/>
          <w:b/>
          <w:i/>
          <w:color w:val="000000" w:themeColor="text1"/>
        </w:rPr>
        <w:t>Police Offences Amendment (Repeal of Begging)</w:t>
      </w:r>
      <w:r w:rsidRPr="00164063">
        <w:rPr>
          <w:rFonts w:ascii="Cambria" w:hAnsi="Cambria"/>
          <w:b/>
          <w:i/>
          <w:color w:val="000000" w:themeColor="text1"/>
        </w:rPr>
        <w:t xml:space="preserve"> Bill 20</w:t>
      </w:r>
      <w:r w:rsidRPr="00164063">
        <w:rPr>
          <w:rFonts w:ascii="Cambria" w:hAnsi="Cambria"/>
          <w:b/>
          <w:i/>
          <w:color w:val="000000" w:themeColor="text1"/>
        </w:rPr>
        <w:t>19</w:t>
      </w:r>
    </w:p>
    <w:p w:rsidR="001077A5" w:rsidRPr="00164063" w:rsidRDefault="001077A5" w:rsidP="001077A5">
      <w:pPr>
        <w:ind w:right="-64"/>
        <w:rPr>
          <w:rFonts w:ascii="Cambria" w:hAnsi="Cambria"/>
          <w:color w:val="000000" w:themeColor="text1"/>
        </w:rPr>
      </w:pPr>
      <w:r w:rsidRPr="00164063">
        <w:rPr>
          <w:rFonts w:ascii="Cambria" w:hAnsi="Cambria"/>
          <w:color w:val="000000" w:themeColor="text1"/>
        </w:rPr>
        <w:t xml:space="preserve"> </w:t>
      </w:r>
    </w:p>
    <w:p w:rsidR="00164063" w:rsidRPr="00164063" w:rsidRDefault="001077A5" w:rsidP="001077A5">
      <w:pPr>
        <w:ind w:right="-205"/>
        <w:jc w:val="both"/>
        <w:rPr>
          <w:rFonts w:ascii="Cambria" w:hAnsi="Cambria"/>
          <w:color w:val="000000" w:themeColor="text1"/>
        </w:rPr>
      </w:pPr>
      <w:r w:rsidRPr="00164063">
        <w:rPr>
          <w:rFonts w:ascii="Cambria" w:hAnsi="Cambria" w:cs="Calibri"/>
          <w:color w:val="000000" w:themeColor="text1"/>
        </w:rPr>
        <w:t>Community Legal Centres Tasmania (CLC Tas)</w:t>
      </w:r>
      <w:r w:rsidRPr="00164063">
        <w:rPr>
          <w:rFonts w:ascii="Cambria" w:hAnsi="Cambria"/>
          <w:color w:val="000000" w:themeColor="text1"/>
        </w:rPr>
        <w:t xml:space="preserve"> is writing to urge members of the Legislative Council to support the </w:t>
      </w:r>
      <w:r w:rsidRPr="00164063">
        <w:rPr>
          <w:rFonts w:ascii="Cambria" w:hAnsi="Cambria"/>
          <w:color w:val="000000" w:themeColor="text1"/>
        </w:rPr>
        <w:t xml:space="preserve">repeal of begging from the </w:t>
      </w:r>
      <w:r w:rsidRPr="00164063">
        <w:rPr>
          <w:rFonts w:ascii="Cambria" w:hAnsi="Cambria"/>
          <w:i/>
          <w:iCs/>
          <w:color w:val="000000" w:themeColor="text1"/>
        </w:rPr>
        <w:t>Police Offences Act</w:t>
      </w:r>
      <w:r w:rsidRPr="00164063">
        <w:rPr>
          <w:rFonts w:ascii="Cambria" w:hAnsi="Cambria"/>
          <w:color w:val="000000" w:themeColor="text1"/>
        </w:rPr>
        <w:t xml:space="preserve"> </w:t>
      </w:r>
      <w:r w:rsidRPr="00164063">
        <w:rPr>
          <w:rFonts w:ascii="Cambria" w:hAnsi="Cambria"/>
          <w:i/>
          <w:iCs/>
          <w:color w:val="000000" w:themeColor="text1"/>
        </w:rPr>
        <w:t>1935</w:t>
      </w:r>
      <w:r w:rsidRPr="00164063">
        <w:rPr>
          <w:rFonts w:ascii="Cambria" w:hAnsi="Cambria"/>
          <w:color w:val="000000" w:themeColor="text1"/>
        </w:rPr>
        <w:t xml:space="preserve"> (Tas) (‘the Act’). </w:t>
      </w:r>
    </w:p>
    <w:p w:rsidR="00164063" w:rsidRPr="00164063" w:rsidRDefault="00164063" w:rsidP="001077A5">
      <w:pPr>
        <w:ind w:right="-205"/>
        <w:jc w:val="both"/>
        <w:rPr>
          <w:rFonts w:ascii="Cambria" w:hAnsi="Cambria"/>
          <w:color w:val="000000" w:themeColor="text1"/>
        </w:rPr>
      </w:pPr>
    </w:p>
    <w:p w:rsidR="001077A5" w:rsidRPr="00164063" w:rsidRDefault="001077A5" w:rsidP="001077A5">
      <w:pPr>
        <w:ind w:right="-205"/>
        <w:jc w:val="both"/>
        <w:rPr>
          <w:rFonts w:ascii="Cambria" w:hAnsi="Cambria"/>
          <w:color w:val="000000" w:themeColor="text1"/>
        </w:rPr>
      </w:pPr>
      <w:r w:rsidRPr="00164063">
        <w:rPr>
          <w:rFonts w:ascii="Cambria" w:hAnsi="Cambria"/>
          <w:color w:val="000000" w:themeColor="text1"/>
        </w:rPr>
        <w:t>However, we are strongly opposed to</w:t>
      </w:r>
      <w:r w:rsidR="00164063" w:rsidRPr="00164063">
        <w:rPr>
          <w:rFonts w:ascii="Cambria" w:hAnsi="Cambria"/>
          <w:color w:val="000000" w:themeColor="text1"/>
        </w:rPr>
        <w:t xml:space="preserve"> </w:t>
      </w:r>
      <w:r w:rsidRPr="00164063">
        <w:rPr>
          <w:rFonts w:ascii="Cambria" w:hAnsi="Cambria"/>
          <w:color w:val="000000" w:themeColor="text1"/>
        </w:rPr>
        <w:t>clause</w:t>
      </w:r>
      <w:r w:rsidR="00164063">
        <w:rPr>
          <w:rFonts w:ascii="Cambria" w:hAnsi="Cambria"/>
          <w:color w:val="000000" w:themeColor="text1"/>
        </w:rPr>
        <w:t>s</w:t>
      </w:r>
      <w:r w:rsidRPr="00164063">
        <w:rPr>
          <w:rFonts w:ascii="Cambria" w:hAnsi="Cambria"/>
          <w:color w:val="000000" w:themeColor="text1"/>
        </w:rPr>
        <w:t xml:space="preserve"> 15B(1)(ca) </w:t>
      </w:r>
      <w:r w:rsidR="00164063">
        <w:rPr>
          <w:rFonts w:ascii="Cambria" w:hAnsi="Cambria"/>
          <w:color w:val="000000" w:themeColor="text1"/>
        </w:rPr>
        <w:t xml:space="preserve">and 15B(1A) </w:t>
      </w:r>
      <w:r w:rsidR="00164063" w:rsidRPr="00164063">
        <w:rPr>
          <w:rFonts w:ascii="Cambria" w:hAnsi="Cambria"/>
          <w:color w:val="000000" w:themeColor="text1"/>
        </w:rPr>
        <w:t>of</w:t>
      </w:r>
      <w:r w:rsidRPr="00164063">
        <w:rPr>
          <w:rFonts w:ascii="Cambria" w:hAnsi="Cambria"/>
          <w:color w:val="000000" w:themeColor="text1"/>
        </w:rPr>
        <w:t xml:space="preserve"> the </w:t>
      </w:r>
      <w:r w:rsidRPr="00164063">
        <w:rPr>
          <w:rFonts w:ascii="Cambria" w:hAnsi="Cambria"/>
          <w:i/>
          <w:iCs/>
          <w:color w:val="000000" w:themeColor="text1"/>
        </w:rPr>
        <w:t>Police Offences Amendment (Repeal of Begging) Bill 2019</w:t>
      </w:r>
      <w:r w:rsidRPr="00164063">
        <w:rPr>
          <w:rFonts w:ascii="Cambria" w:hAnsi="Cambria"/>
          <w:color w:val="000000" w:themeColor="text1"/>
        </w:rPr>
        <w:t xml:space="preserve"> </w:t>
      </w:r>
      <w:r w:rsidRPr="00164063">
        <w:rPr>
          <w:rFonts w:ascii="Cambria" w:hAnsi="Cambria"/>
          <w:color w:val="000000" w:themeColor="text1"/>
        </w:rPr>
        <w:t xml:space="preserve">(‘the Bill’). </w:t>
      </w:r>
      <w:r w:rsidRPr="00164063">
        <w:rPr>
          <w:rFonts w:ascii="Cambria" w:hAnsi="Cambria"/>
          <w:color w:val="000000" w:themeColor="text1"/>
        </w:rPr>
        <w:t xml:space="preserve">If the </w:t>
      </w:r>
      <w:r w:rsidR="00164063">
        <w:rPr>
          <w:rFonts w:ascii="Cambria" w:hAnsi="Cambria"/>
          <w:color w:val="000000" w:themeColor="text1"/>
        </w:rPr>
        <w:t xml:space="preserve">Bill is passed in full, </w:t>
      </w:r>
      <w:r w:rsidRPr="00164063">
        <w:rPr>
          <w:rFonts w:ascii="Cambria" w:hAnsi="Cambria"/>
          <w:color w:val="000000" w:themeColor="text1"/>
        </w:rPr>
        <w:t>section 15B</w:t>
      </w:r>
      <w:r w:rsidR="00164063" w:rsidRPr="00164063">
        <w:rPr>
          <w:rFonts w:ascii="Cambria" w:hAnsi="Cambria"/>
          <w:color w:val="000000" w:themeColor="text1"/>
        </w:rPr>
        <w:t xml:space="preserve"> </w:t>
      </w:r>
      <w:r w:rsidRPr="00164063">
        <w:rPr>
          <w:rFonts w:ascii="Cambria" w:hAnsi="Cambria"/>
          <w:color w:val="000000" w:themeColor="text1"/>
        </w:rPr>
        <w:t>of the Act will read as follows:</w:t>
      </w:r>
    </w:p>
    <w:p w:rsidR="001077A5" w:rsidRPr="00164063" w:rsidRDefault="001077A5" w:rsidP="001077A5">
      <w:pPr>
        <w:ind w:right="-205"/>
        <w:jc w:val="both"/>
        <w:rPr>
          <w:rFonts w:ascii="Cambria" w:hAnsi="Cambria"/>
          <w:color w:val="000000" w:themeColor="text1"/>
        </w:rPr>
      </w:pPr>
    </w:p>
    <w:p w:rsidR="001077A5" w:rsidRPr="001077A5" w:rsidRDefault="000C1E6D" w:rsidP="001077A5">
      <w:pPr>
        <w:ind w:left="720"/>
        <w:rPr>
          <w:rFonts w:ascii="Cambria" w:hAnsi="Cambria"/>
          <w:i/>
          <w:iCs/>
          <w:color w:val="000000" w:themeColor="text1"/>
        </w:rPr>
      </w:pPr>
      <w:r w:rsidRPr="00164063">
        <w:rPr>
          <w:rFonts w:ascii="Cambria" w:hAnsi="Cambria"/>
          <w:b/>
          <w:bCs/>
          <w:i/>
          <w:iCs/>
          <w:color w:val="000000" w:themeColor="text1"/>
          <w:shd w:val="clear" w:color="auto" w:fill="FFFFFF"/>
        </w:rPr>
        <w:t xml:space="preserve">15B </w:t>
      </w:r>
      <w:r w:rsidR="001077A5" w:rsidRPr="001077A5">
        <w:rPr>
          <w:rFonts w:ascii="Cambria" w:hAnsi="Cambria"/>
          <w:b/>
          <w:bCs/>
          <w:i/>
          <w:iCs/>
          <w:color w:val="000000" w:themeColor="text1"/>
          <w:shd w:val="clear" w:color="auto" w:fill="FFFFFF"/>
        </w:rPr>
        <w:t>Dispersal of persons</w:t>
      </w:r>
    </w:p>
    <w:p w:rsidR="001077A5" w:rsidRPr="001077A5" w:rsidRDefault="001077A5" w:rsidP="001077A5">
      <w:pPr>
        <w:shd w:val="clear" w:color="auto" w:fill="FFFFFF"/>
        <w:ind w:left="720"/>
        <w:rPr>
          <w:rFonts w:ascii="Cambria" w:hAnsi="Cambria"/>
          <w:i/>
          <w:iCs/>
          <w:color w:val="000000" w:themeColor="text1"/>
        </w:rPr>
      </w:pPr>
      <w:r w:rsidRPr="001077A5">
        <w:rPr>
          <w:rFonts w:ascii="Cambria" w:hAnsi="Cambria"/>
          <w:i/>
          <w:iCs/>
          <w:color w:val="000000" w:themeColor="text1"/>
        </w:rPr>
        <w:t>(1)  A police officer may direct a person in a public place to leave that place and not return for a specified period of not less than 4 hours if the police officer believes on reasonable grounds that the person –</w:t>
      </w:r>
    </w:p>
    <w:p w:rsidR="001077A5" w:rsidRPr="00164063" w:rsidRDefault="001077A5" w:rsidP="001077A5">
      <w:pPr>
        <w:shd w:val="clear" w:color="auto" w:fill="FFFFFF"/>
        <w:ind w:left="720"/>
        <w:rPr>
          <w:rFonts w:ascii="Cambria" w:hAnsi="Cambria"/>
          <w:i/>
          <w:iCs/>
          <w:color w:val="000000" w:themeColor="text1"/>
        </w:rPr>
      </w:pPr>
    </w:p>
    <w:p w:rsidR="001077A5" w:rsidRPr="001077A5" w:rsidRDefault="001077A5" w:rsidP="001077A5">
      <w:pPr>
        <w:shd w:val="clear" w:color="auto" w:fill="FFFFFF"/>
        <w:ind w:left="720" w:firstLine="720"/>
        <w:rPr>
          <w:rFonts w:ascii="Cambria" w:hAnsi="Cambria"/>
          <w:i/>
          <w:iCs/>
          <w:color w:val="000000" w:themeColor="text1"/>
        </w:rPr>
      </w:pPr>
      <w:r w:rsidRPr="001077A5">
        <w:rPr>
          <w:rFonts w:ascii="Cambria" w:hAnsi="Cambria"/>
          <w:i/>
          <w:iCs/>
          <w:color w:val="000000" w:themeColor="text1"/>
        </w:rPr>
        <w:t>(a) has committed or is likely to commit an offence; or</w:t>
      </w:r>
    </w:p>
    <w:p w:rsidR="001077A5" w:rsidRPr="00164063" w:rsidRDefault="001077A5" w:rsidP="001077A5">
      <w:pPr>
        <w:shd w:val="clear" w:color="auto" w:fill="FFFFFF"/>
        <w:ind w:left="720"/>
        <w:rPr>
          <w:rFonts w:ascii="Cambria" w:hAnsi="Cambria"/>
          <w:i/>
          <w:iCs/>
          <w:color w:val="000000" w:themeColor="text1"/>
        </w:rPr>
      </w:pPr>
    </w:p>
    <w:p w:rsidR="001077A5" w:rsidRPr="001077A5" w:rsidRDefault="001077A5" w:rsidP="001077A5">
      <w:pPr>
        <w:shd w:val="clear" w:color="auto" w:fill="FFFFFF"/>
        <w:ind w:left="1440"/>
        <w:rPr>
          <w:rFonts w:ascii="Cambria" w:hAnsi="Cambria"/>
          <w:i/>
          <w:iCs/>
          <w:color w:val="000000" w:themeColor="text1"/>
        </w:rPr>
      </w:pPr>
      <w:r w:rsidRPr="001077A5">
        <w:rPr>
          <w:rFonts w:ascii="Cambria" w:hAnsi="Cambria"/>
          <w:i/>
          <w:iCs/>
          <w:color w:val="000000" w:themeColor="text1"/>
        </w:rPr>
        <w:t>(b) is obstructing or is likely to obstruct the movement of pedestrians or vehicles; or</w:t>
      </w:r>
    </w:p>
    <w:p w:rsidR="001077A5" w:rsidRPr="00164063" w:rsidRDefault="001077A5" w:rsidP="001077A5">
      <w:pPr>
        <w:shd w:val="clear" w:color="auto" w:fill="FFFFFF"/>
        <w:ind w:left="720" w:firstLine="720"/>
        <w:rPr>
          <w:rFonts w:ascii="Cambria" w:hAnsi="Cambria"/>
          <w:i/>
          <w:iCs/>
          <w:color w:val="000000" w:themeColor="text1"/>
        </w:rPr>
      </w:pPr>
    </w:p>
    <w:p w:rsidR="00BB6350" w:rsidRPr="00164063" w:rsidRDefault="001077A5" w:rsidP="00BB6350">
      <w:pPr>
        <w:shd w:val="clear" w:color="auto" w:fill="FFFFFF"/>
        <w:ind w:left="1440"/>
        <w:rPr>
          <w:rFonts w:ascii="Cambria" w:hAnsi="Cambria"/>
          <w:i/>
          <w:iCs/>
          <w:color w:val="000000" w:themeColor="text1"/>
        </w:rPr>
      </w:pPr>
      <w:r w:rsidRPr="001077A5">
        <w:rPr>
          <w:rFonts w:ascii="Cambria" w:hAnsi="Cambria"/>
          <w:i/>
          <w:iCs/>
          <w:color w:val="000000" w:themeColor="text1"/>
        </w:rPr>
        <w:t>(c) is endangering or likely to endanger the safety of any other person; or</w:t>
      </w:r>
    </w:p>
    <w:p w:rsidR="00BB6350" w:rsidRPr="00164063" w:rsidRDefault="00BB6350" w:rsidP="00BB6350">
      <w:pPr>
        <w:shd w:val="clear" w:color="auto" w:fill="FFFFFF"/>
        <w:ind w:left="1440"/>
        <w:rPr>
          <w:rFonts w:ascii="Cambria" w:hAnsi="Cambria"/>
          <w:i/>
          <w:iCs/>
          <w:color w:val="000000" w:themeColor="text1"/>
        </w:rPr>
      </w:pPr>
    </w:p>
    <w:p w:rsidR="00BB6350" w:rsidRPr="00164063" w:rsidRDefault="00BB6350" w:rsidP="00BB6350">
      <w:pPr>
        <w:shd w:val="clear" w:color="auto" w:fill="FFFFFF"/>
        <w:ind w:left="1440"/>
        <w:rPr>
          <w:rFonts w:ascii="Cambria" w:hAnsi="Cambria"/>
          <w:b/>
          <w:bCs/>
          <w:i/>
          <w:iCs/>
          <w:color w:val="000000" w:themeColor="text1"/>
        </w:rPr>
      </w:pPr>
      <w:r w:rsidRPr="00BB6350">
        <w:rPr>
          <w:rFonts w:ascii="Cambria" w:hAnsi="Cambria"/>
          <w:b/>
          <w:bCs/>
          <w:i/>
          <w:iCs/>
          <w:color w:val="000000" w:themeColor="text1"/>
        </w:rPr>
        <w:t>(ca) by, or in the course of, or in connection with, begging in that place has –</w:t>
      </w:r>
    </w:p>
    <w:p w:rsidR="00BB6350" w:rsidRPr="00164063" w:rsidRDefault="00BB6350" w:rsidP="00BB6350">
      <w:pPr>
        <w:shd w:val="clear" w:color="auto" w:fill="FFFFFF"/>
        <w:ind w:left="1440"/>
        <w:rPr>
          <w:rFonts w:ascii="Cambria" w:hAnsi="Cambria"/>
          <w:b/>
          <w:bCs/>
          <w:i/>
          <w:iCs/>
          <w:color w:val="000000" w:themeColor="text1"/>
        </w:rPr>
      </w:pPr>
    </w:p>
    <w:p w:rsidR="00BB6350" w:rsidRPr="00164063" w:rsidRDefault="00BB6350" w:rsidP="00BB6350">
      <w:pPr>
        <w:pStyle w:val="ListParagraph"/>
        <w:numPr>
          <w:ilvl w:val="0"/>
          <w:numId w:val="2"/>
        </w:numPr>
        <w:shd w:val="clear" w:color="auto" w:fill="FFFFFF"/>
        <w:rPr>
          <w:rFonts w:ascii="Cambria" w:hAnsi="Cambria"/>
          <w:b/>
          <w:bCs/>
          <w:i/>
          <w:iCs/>
          <w:color w:val="000000" w:themeColor="text1"/>
        </w:rPr>
      </w:pPr>
      <w:r w:rsidRPr="00164063">
        <w:rPr>
          <w:rFonts w:ascii="Cambria" w:hAnsi="Cambria"/>
          <w:b/>
          <w:bCs/>
          <w:i/>
          <w:iCs/>
          <w:color w:val="000000" w:themeColor="text1"/>
        </w:rPr>
        <w:t xml:space="preserve">intimidated, or harassed, a person; or </w:t>
      </w:r>
    </w:p>
    <w:p w:rsidR="00BB6350" w:rsidRPr="00164063" w:rsidRDefault="00BB6350" w:rsidP="00BB6350">
      <w:pPr>
        <w:shd w:val="clear" w:color="auto" w:fill="FFFFFF"/>
        <w:ind w:left="2160"/>
        <w:rPr>
          <w:rFonts w:ascii="Cambria" w:hAnsi="Cambria"/>
          <w:b/>
          <w:bCs/>
          <w:i/>
          <w:iCs/>
          <w:color w:val="000000" w:themeColor="text1"/>
        </w:rPr>
      </w:pPr>
    </w:p>
    <w:p w:rsidR="00BB6350" w:rsidRPr="00164063" w:rsidRDefault="00BB6350" w:rsidP="00BB6350">
      <w:pPr>
        <w:pStyle w:val="ListParagraph"/>
        <w:numPr>
          <w:ilvl w:val="0"/>
          <w:numId w:val="2"/>
        </w:numPr>
        <w:shd w:val="clear" w:color="auto" w:fill="FFFFFF"/>
        <w:rPr>
          <w:rFonts w:ascii="Cambria" w:hAnsi="Cambria"/>
          <w:b/>
          <w:bCs/>
          <w:i/>
          <w:iCs/>
          <w:color w:val="000000" w:themeColor="text1"/>
        </w:rPr>
      </w:pPr>
      <w:r w:rsidRPr="00164063">
        <w:rPr>
          <w:rFonts w:ascii="Cambria" w:hAnsi="Cambria"/>
          <w:b/>
          <w:bCs/>
          <w:i/>
          <w:iCs/>
          <w:color w:val="000000" w:themeColor="text1"/>
        </w:rPr>
        <w:t>prevented or</w:t>
      </w:r>
      <w:r w:rsidRPr="00164063">
        <w:rPr>
          <w:rFonts w:ascii="Cambria" w:hAnsi="Cambria"/>
          <w:b/>
          <w:bCs/>
          <w:i/>
          <w:iCs/>
          <w:color w:val="000000" w:themeColor="text1"/>
        </w:rPr>
        <w:t xml:space="preserve"> </w:t>
      </w:r>
      <w:r w:rsidRPr="00164063">
        <w:rPr>
          <w:rFonts w:ascii="Cambria" w:hAnsi="Cambria"/>
          <w:b/>
          <w:bCs/>
          <w:i/>
          <w:iCs/>
          <w:color w:val="000000" w:themeColor="text1"/>
        </w:rPr>
        <w:t xml:space="preserve">deterred persons from entering, or the conduct of, a business that is in, or in the vicinity of, the place; or </w:t>
      </w:r>
    </w:p>
    <w:p w:rsidR="00BB6350" w:rsidRPr="00164063" w:rsidRDefault="00BB6350" w:rsidP="00BB6350">
      <w:pPr>
        <w:shd w:val="clear" w:color="auto" w:fill="FFFFFF"/>
        <w:ind w:left="2160"/>
        <w:rPr>
          <w:rFonts w:ascii="Cambria" w:hAnsi="Cambria"/>
          <w:b/>
          <w:bCs/>
          <w:i/>
          <w:iCs/>
          <w:color w:val="000000" w:themeColor="text1"/>
        </w:rPr>
      </w:pPr>
    </w:p>
    <w:p w:rsidR="00BB6350" w:rsidRPr="00164063" w:rsidRDefault="00BB6350" w:rsidP="00BB6350">
      <w:pPr>
        <w:shd w:val="clear" w:color="auto" w:fill="FFFFFF"/>
        <w:ind w:left="2160"/>
        <w:rPr>
          <w:rFonts w:ascii="Cambria" w:hAnsi="Cambria"/>
          <w:b/>
          <w:bCs/>
          <w:i/>
          <w:iCs/>
          <w:color w:val="000000" w:themeColor="text1"/>
        </w:rPr>
      </w:pPr>
      <w:r w:rsidRPr="00164063">
        <w:rPr>
          <w:rFonts w:ascii="Cambria" w:hAnsi="Cambria"/>
          <w:b/>
          <w:bCs/>
          <w:i/>
          <w:iCs/>
          <w:color w:val="000000" w:themeColor="text1"/>
        </w:rPr>
        <w:lastRenderedPageBreak/>
        <w:t>(iii) prevented or deterred persons from using a public facility that is in, or in the vicinity of, the place; or</w:t>
      </w:r>
      <w:r w:rsidRPr="00164063">
        <w:rPr>
          <w:rFonts w:ascii="Cambria" w:hAnsi="Cambria"/>
          <w:b/>
          <w:bCs/>
          <w:i/>
          <w:iCs/>
          <w:color w:val="000000" w:themeColor="text1"/>
        </w:rPr>
        <w:t xml:space="preserve"> </w:t>
      </w:r>
    </w:p>
    <w:p w:rsidR="00BB6350" w:rsidRPr="00164063" w:rsidRDefault="00BB6350" w:rsidP="00BB6350">
      <w:pPr>
        <w:shd w:val="clear" w:color="auto" w:fill="FFFFFF"/>
        <w:rPr>
          <w:rFonts w:ascii="Cambria" w:hAnsi="Cambria"/>
          <w:i/>
          <w:iCs/>
          <w:color w:val="000000" w:themeColor="text1"/>
        </w:rPr>
      </w:pPr>
    </w:p>
    <w:p w:rsidR="001077A5" w:rsidRPr="001077A5" w:rsidRDefault="001077A5" w:rsidP="001077A5">
      <w:pPr>
        <w:shd w:val="clear" w:color="auto" w:fill="FFFFFF"/>
        <w:ind w:left="1440"/>
        <w:rPr>
          <w:rFonts w:ascii="Cambria" w:hAnsi="Cambria"/>
          <w:i/>
          <w:iCs/>
          <w:color w:val="000000" w:themeColor="text1"/>
        </w:rPr>
      </w:pPr>
      <w:r w:rsidRPr="001077A5">
        <w:rPr>
          <w:rFonts w:ascii="Cambria" w:hAnsi="Cambria"/>
          <w:i/>
          <w:iCs/>
          <w:color w:val="000000" w:themeColor="text1"/>
        </w:rPr>
        <w:t>(d) has committed or is likely to commit a breach of the peace.</w:t>
      </w:r>
    </w:p>
    <w:p w:rsidR="00BB6350" w:rsidRPr="00164063" w:rsidRDefault="00BB6350" w:rsidP="00BB6350">
      <w:pPr>
        <w:ind w:left="720"/>
        <w:rPr>
          <w:rFonts w:ascii="Cambria" w:hAnsi="Cambria"/>
          <w:i/>
          <w:iCs/>
          <w:color w:val="000000" w:themeColor="text1"/>
        </w:rPr>
      </w:pPr>
    </w:p>
    <w:p w:rsidR="00BB6350" w:rsidRPr="00164063" w:rsidRDefault="00BB6350" w:rsidP="00BB6350">
      <w:pPr>
        <w:ind w:left="720"/>
        <w:rPr>
          <w:rFonts w:ascii="Cambria" w:hAnsi="Cambria"/>
          <w:b/>
          <w:bCs/>
          <w:i/>
          <w:iCs/>
          <w:color w:val="000000" w:themeColor="text1"/>
        </w:rPr>
      </w:pPr>
      <w:r w:rsidRPr="00BB6350">
        <w:rPr>
          <w:rFonts w:ascii="Cambria" w:hAnsi="Cambria"/>
          <w:b/>
          <w:bCs/>
          <w:i/>
          <w:iCs/>
          <w:color w:val="000000" w:themeColor="text1"/>
        </w:rPr>
        <w:t xml:space="preserve">(1A) For the purposes of subsection (1)(ca) – public facility includes – </w:t>
      </w:r>
    </w:p>
    <w:p w:rsidR="00BB6350" w:rsidRPr="00164063" w:rsidRDefault="00BB6350" w:rsidP="00BB6350">
      <w:pPr>
        <w:ind w:left="720"/>
        <w:rPr>
          <w:rFonts w:ascii="Cambria" w:hAnsi="Cambria"/>
          <w:b/>
          <w:bCs/>
          <w:i/>
          <w:iCs/>
          <w:color w:val="000000" w:themeColor="text1"/>
        </w:rPr>
      </w:pPr>
    </w:p>
    <w:p w:rsidR="00BB6350" w:rsidRPr="00164063" w:rsidRDefault="00BB6350" w:rsidP="00BB6350">
      <w:pPr>
        <w:ind w:left="720" w:firstLine="720"/>
        <w:rPr>
          <w:rFonts w:ascii="Cambria" w:hAnsi="Cambria"/>
          <w:b/>
          <w:bCs/>
          <w:i/>
          <w:iCs/>
          <w:color w:val="000000" w:themeColor="text1"/>
        </w:rPr>
      </w:pPr>
      <w:r w:rsidRPr="00BB6350">
        <w:rPr>
          <w:rFonts w:ascii="Cambria" w:hAnsi="Cambria"/>
          <w:b/>
          <w:bCs/>
          <w:i/>
          <w:iCs/>
          <w:color w:val="000000" w:themeColor="text1"/>
        </w:rPr>
        <w:t xml:space="preserve">(a) a toilet or shower facility; and </w:t>
      </w:r>
    </w:p>
    <w:p w:rsidR="00BB6350" w:rsidRPr="00164063" w:rsidRDefault="00BB6350" w:rsidP="00BB6350">
      <w:pPr>
        <w:ind w:left="720"/>
        <w:rPr>
          <w:rFonts w:ascii="Cambria" w:hAnsi="Cambria"/>
          <w:b/>
          <w:bCs/>
          <w:i/>
          <w:iCs/>
          <w:color w:val="000000" w:themeColor="text1"/>
        </w:rPr>
      </w:pPr>
    </w:p>
    <w:p w:rsidR="00BB6350" w:rsidRPr="00164063" w:rsidRDefault="00BB6350" w:rsidP="00BB6350">
      <w:pPr>
        <w:ind w:left="720" w:firstLine="720"/>
        <w:rPr>
          <w:rFonts w:ascii="Cambria" w:hAnsi="Cambria"/>
          <w:b/>
          <w:bCs/>
          <w:i/>
          <w:iCs/>
          <w:color w:val="000000" w:themeColor="text1"/>
        </w:rPr>
      </w:pPr>
      <w:r w:rsidRPr="00BB6350">
        <w:rPr>
          <w:rFonts w:ascii="Cambria" w:hAnsi="Cambria"/>
          <w:b/>
          <w:bCs/>
          <w:i/>
          <w:iCs/>
          <w:color w:val="000000" w:themeColor="text1"/>
        </w:rPr>
        <w:t xml:space="preserve">(b) a barbeque facility; and </w:t>
      </w:r>
    </w:p>
    <w:p w:rsidR="00BB6350" w:rsidRPr="00164063" w:rsidRDefault="00BB6350" w:rsidP="00BB6350">
      <w:pPr>
        <w:ind w:left="720"/>
        <w:rPr>
          <w:rFonts w:ascii="Cambria" w:hAnsi="Cambria"/>
          <w:b/>
          <w:bCs/>
          <w:i/>
          <w:iCs/>
          <w:color w:val="000000" w:themeColor="text1"/>
        </w:rPr>
      </w:pPr>
    </w:p>
    <w:p w:rsidR="00BB6350" w:rsidRPr="00164063" w:rsidRDefault="00BB6350" w:rsidP="00BB6350">
      <w:pPr>
        <w:ind w:left="720" w:firstLine="720"/>
        <w:rPr>
          <w:rFonts w:ascii="Cambria" w:hAnsi="Cambria"/>
          <w:b/>
          <w:bCs/>
          <w:i/>
          <w:iCs/>
          <w:color w:val="000000" w:themeColor="text1"/>
        </w:rPr>
      </w:pPr>
      <w:r w:rsidRPr="00BB6350">
        <w:rPr>
          <w:rFonts w:ascii="Cambria" w:hAnsi="Cambria"/>
          <w:b/>
          <w:bCs/>
          <w:i/>
          <w:iCs/>
          <w:color w:val="000000" w:themeColor="text1"/>
        </w:rPr>
        <w:t xml:space="preserve">(c) playground equipment; and </w:t>
      </w:r>
    </w:p>
    <w:p w:rsidR="00BB6350" w:rsidRPr="00164063" w:rsidRDefault="00BB6350" w:rsidP="00BB6350">
      <w:pPr>
        <w:ind w:left="720"/>
        <w:rPr>
          <w:rFonts w:ascii="Cambria" w:hAnsi="Cambria"/>
          <w:b/>
          <w:bCs/>
          <w:i/>
          <w:iCs/>
          <w:color w:val="000000" w:themeColor="text1"/>
        </w:rPr>
      </w:pPr>
    </w:p>
    <w:p w:rsidR="00BB6350" w:rsidRPr="00164063" w:rsidRDefault="00BB6350" w:rsidP="00BB6350">
      <w:pPr>
        <w:ind w:left="720" w:firstLine="720"/>
        <w:rPr>
          <w:rFonts w:ascii="Cambria" w:hAnsi="Cambria"/>
          <w:b/>
          <w:bCs/>
          <w:i/>
          <w:iCs/>
          <w:color w:val="000000" w:themeColor="text1"/>
        </w:rPr>
      </w:pPr>
      <w:r w:rsidRPr="00BB6350">
        <w:rPr>
          <w:rFonts w:ascii="Cambria" w:hAnsi="Cambria"/>
          <w:b/>
          <w:bCs/>
          <w:i/>
          <w:iCs/>
          <w:color w:val="000000" w:themeColor="text1"/>
        </w:rPr>
        <w:t xml:space="preserve">(d) a structure for the provision of shelter; and </w:t>
      </w:r>
    </w:p>
    <w:p w:rsidR="00BB6350" w:rsidRPr="00164063" w:rsidRDefault="00BB6350" w:rsidP="00BB6350">
      <w:pPr>
        <w:ind w:left="720"/>
        <w:rPr>
          <w:rFonts w:ascii="Cambria" w:hAnsi="Cambria"/>
          <w:b/>
          <w:bCs/>
          <w:i/>
          <w:iCs/>
          <w:color w:val="000000" w:themeColor="text1"/>
        </w:rPr>
      </w:pPr>
    </w:p>
    <w:p w:rsidR="00BB6350" w:rsidRPr="00164063" w:rsidRDefault="00BB6350" w:rsidP="00BB6350">
      <w:pPr>
        <w:ind w:left="720" w:firstLine="720"/>
        <w:rPr>
          <w:rFonts w:ascii="Cambria" w:hAnsi="Cambria"/>
          <w:b/>
          <w:bCs/>
          <w:i/>
          <w:iCs/>
          <w:color w:val="000000" w:themeColor="text1"/>
        </w:rPr>
      </w:pPr>
      <w:r w:rsidRPr="00BB6350">
        <w:rPr>
          <w:rFonts w:ascii="Cambria" w:hAnsi="Cambria"/>
          <w:b/>
          <w:bCs/>
          <w:i/>
          <w:iCs/>
          <w:color w:val="000000" w:themeColor="text1"/>
        </w:rPr>
        <w:t xml:space="preserve">(e) a parenting room; and </w:t>
      </w:r>
    </w:p>
    <w:p w:rsidR="00BB6350" w:rsidRPr="00164063" w:rsidRDefault="00BB6350" w:rsidP="00BB6350">
      <w:pPr>
        <w:ind w:left="720"/>
        <w:rPr>
          <w:rFonts w:ascii="Cambria" w:hAnsi="Cambria"/>
          <w:b/>
          <w:bCs/>
          <w:i/>
          <w:iCs/>
          <w:color w:val="000000" w:themeColor="text1"/>
        </w:rPr>
      </w:pPr>
    </w:p>
    <w:p w:rsidR="00BB6350" w:rsidRPr="00BB6350" w:rsidRDefault="00BB6350" w:rsidP="00BB6350">
      <w:pPr>
        <w:ind w:left="720" w:firstLine="720"/>
        <w:rPr>
          <w:rFonts w:ascii="Cambria" w:hAnsi="Cambria"/>
          <w:b/>
          <w:bCs/>
          <w:i/>
          <w:iCs/>
          <w:color w:val="000000" w:themeColor="text1"/>
        </w:rPr>
      </w:pPr>
      <w:r w:rsidRPr="00BB6350">
        <w:rPr>
          <w:rFonts w:ascii="Cambria" w:hAnsi="Cambria"/>
          <w:b/>
          <w:bCs/>
          <w:i/>
          <w:iCs/>
          <w:color w:val="000000" w:themeColor="text1"/>
        </w:rPr>
        <w:t>(f) a water fountain.</w:t>
      </w:r>
    </w:p>
    <w:p w:rsidR="00BB6350" w:rsidRPr="00164063" w:rsidRDefault="00BB6350" w:rsidP="001077A5">
      <w:pPr>
        <w:shd w:val="clear" w:color="auto" w:fill="FFFFFF"/>
        <w:ind w:left="720"/>
        <w:rPr>
          <w:rFonts w:ascii="Cambria" w:hAnsi="Cambria"/>
          <w:i/>
          <w:iCs/>
          <w:color w:val="000000" w:themeColor="text1"/>
        </w:rPr>
      </w:pPr>
    </w:p>
    <w:p w:rsidR="001077A5" w:rsidRPr="001077A5" w:rsidRDefault="001077A5" w:rsidP="000C1E6D">
      <w:pPr>
        <w:shd w:val="clear" w:color="auto" w:fill="FFFFFF"/>
        <w:ind w:left="720"/>
        <w:rPr>
          <w:rFonts w:ascii="Cambria" w:hAnsi="Cambria"/>
          <w:i/>
          <w:iCs/>
          <w:color w:val="000000" w:themeColor="text1"/>
        </w:rPr>
      </w:pPr>
      <w:r w:rsidRPr="001077A5">
        <w:rPr>
          <w:rFonts w:ascii="Cambria" w:hAnsi="Cambria"/>
          <w:i/>
          <w:iCs/>
          <w:color w:val="000000" w:themeColor="text1"/>
        </w:rPr>
        <w:t>(2)  A person must comply with a direction under subsection (1)</w:t>
      </w:r>
      <w:r w:rsidR="000C1E6D" w:rsidRPr="00164063">
        <w:rPr>
          <w:rFonts w:ascii="Cambria" w:hAnsi="Cambria"/>
          <w:i/>
          <w:iCs/>
          <w:color w:val="000000" w:themeColor="text1"/>
        </w:rPr>
        <w:t xml:space="preserve">. </w:t>
      </w:r>
      <w:r w:rsidRPr="001077A5">
        <w:rPr>
          <w:rFonts w:ascii="Cambria" w:hAnsi="Cambria"/>
          <w:i/>
          <w:iCs/>
          <w:color w:val="000000" w:themeColor="text1"/>
        </w:rPr>
        <w:t>Penalty:  Fine not exceeding 2 penalty units.</w:t>
      </w:r>
    </w:p>
    <w:p w:rsidR="001077A5" w:rsidRPr="00164063" w:rsidRDefault="001077A5" w:rsidP="001077A5">
      <w:pPr>
        <w:ind w:right="-205"/>
        <w:jc w:val="both"/>
        <w:rPr>
          <w:rFonts w:ascii="Cambria" w:hAnsi="Cambria"/>
          <w:color w:val="000000" w:themeColor="text1"/>
        </w:rPr>
      </w:pPr>
    </w:p>
    <w:p w:rsidR="000C1E6D" w:rsidRPr="00164063" w:rsidRDefault="000C1E6D" w:rsidP="000C1E6D">
      <w:pPr>
        <w:ind w:right="-205"/>
        <w:jc w:val="both"/>
        <w:rPr>
          <w:rFonts w:ascii="Cambria" w:hAnsi="Cambria"/>
          <w:color w:val="000000" w:themeColor="text1"/>
          <w:shd w:val="clear" w:color="auto" w:fill="FFFFFF"/>
        </w:rPr>
      </w:pPr>
      <w:r w:rsidRPr="00164063">
        <w:rPr>
          <w:rFonts w:ascii="Cambria" w:hAnsi="Cambria"/>
          <w:color w:val="000000" w:themeColor="text1"/>
        </w:rPr>
        <w:t xml:space="preserve">We strongly believe that there is already sufficient scope within section 15B of the Act without the need for </w:t>
      </w:r>
      <w:r w:rsidR="001077A5" w:rsidRPr="001077A5">
        <w:rPr>
          <w:rFonts w:ascii="Cambria" w:hAnsi="Cambria"/>
          <w:color w:val="000000" w:themeColor="text1"/>
          <w:shd w:val="clear" w:color="auto" w:fill="FFFFFF"/>
        </w:rPr>
        <w:t>additional 'move on' power</w:t>
      </w:r>
      <w:r w:rsidRPr="00164063">
        <w:rPr>
          <w:rFonts w:ascii="Cambria" w:hAnsi="Cambria"/>
          <w:color w:val="000000" w:themeColor="text1"/>
          <w:shd w:val="clear" w:color="auto" w:fill="FFFFFF"/>
        </w:rPr>
        <w:t>s as proposed in clause 15B(1)(ca). Currently, section 15B of the Act provides that persons can be moved on if the police believes on reasonable grounds that a person:</w:t>
      </w:r>
    </w:p>
    <w:p w:rsidR="000C1E6D" w:rsidRPr="00164063" w:rsidRDefault="000C1E6D" w:rsidP="000C1E6D">
      <w:pPr>
        <w:ind w:right="-205"/>
        <w:jc w:val="both"/>
        <w:rPr>
          <w:rFonts w:ascii="Cambria" w:hAnsi="Cambria"/>
          <w:color w:val="000000" w:themeColor="text1"/>
          <w:shd w:val="clear" w:color="auto" w:fill="FFFFFF"/>
        </w:rPr>
      </w:pPr>
    </w:p>
    <w:p w:rsidR="000C1E6D" w:rsidRPr="001077A5" w:rsidRDefault="000C1E6D" w:rsidP="000C1E6D">
      <w:pPr>
        <w:shd w:val="clear" w:color="auto" w:fill="FFFFFF"/>
        <w:ind w:left="720" w:firstLine="720"/>
        <w:rPr>
          <w:rFonts w:ascii="Cambria" w:hAnsi="Cambria"/>
          <w:i/>
          <w:iCs/>
          <w:color w:val="000000" w:themeColor="text1"/>
        </w:rPr>
      </w:pPr>
      <w:r w:rsidRPr="001077A5">
        <w:rPr>
          <w:rFonts w:ascii="Cambria" w:hAnsi="Cambria"/>
          <w:i/>
          <w:iCs/>
          <w:color w:val="000000" w:themeColor="text1"/>
        </w:rPr>
        <w:t>(a) has committed or is likely to commit an offence; or</w:t>
      </w:r>
    </w:p>
    <w:p w:rsidR="000C1E6D" w:rsidRPr="00164063" w:rsidRDefault="000C1E6D" w:rsidP="000C1E6D">
      <w:pPr>
        <w:shd w:val="clear" w:color="auto" w:fill="FFFFFF"/>
        <w:ind w:left="720"/>
        <w:rPr>
          <w:rFonts w:ascii="Cambria" w:hAnsi="Cambria"/>
          <w:i/>
          <w:iCs/>
          <w:color w:val="000000" w:themeColor="text1"/>
        </w:rPr>
      </w:pPr>
    </w:p>
    <w:p w:rsidR="000C1E6D" w:rsidRPr="001077A5" w:rsidRDefault="000C1E6D" w:rsidP="000C1E6D">
      <w:pPr>
        <w:shd w:val="clear" w:color="auto" w:fill="FFFFFF"/>
        <w:ind w:left="1440"/>
        <w:rPr>
          <w:rFonts w:ascii="Cambria" w:hAnsi="Cambria"/>
          <w:i/>
          <w:iCs/>
          <w:color w:val="000000" w:themeColor="text1"/>
        </w:rPr>
      </w:pPr>
      <w:r w:rsidRPr="001077A5">
        <w:rPr>
          <w:rFonts w:ascii="Cambria" w:hAnsi="Cambria"/>
          <w:i/>
          <w:iCs/>
          <w:color w:val="000000" w:themeColor="text1"/>
        </w:rPr>
        <w:t>(b) is obstructing or is likely to obstruct the movement of pedestrians or vehicles; or</w:t>
      </w:r>
    </w:p>
    <w:p w:rsidR="000C1E6D" w:rsidRPr="00164063" w:rsidRDefault="000C1E6D" w:rsidP="000C1E6D">
      <w:pPr>
        <w:shd w:val="clear" w:color="auto" w:fill="FFFFFF"/>
        <w:ind w:left="720" w:firstLine="720"/>
        <w:rPr>
          <w:rFonts w:ascii="Cambria" w:hAnsi="Cambria"/>
          <w:i/>
          <w:iCs/>
          <w:color w:val="000000" w:themeColor="text1"/>
        </w:rPr>
      </w:pPr>
    </w:p>
    <w:p w:rsidR="000C1E6D" w:rsidRPr="00164063" w:rsidRDefault="000C1E6D" w:rsidP="000C1E6D">
      <w:pPr>
        <w:shd w:val="clear" w:color="auto" w:fill="FFFFFF"/>
        <w:ind w:left="1440"/>
        <w:rPr>
          <w:rFonts w:ascii="Cambria" w:hAnsi="Cambria"/>
          <w:i/>
          <w:iCs/>
          <w:color w:val="000000" w:themeColor="text1"/>
        </w:rPr>
      </w:pPr>
      <w:r w:rsidRPr="001077A5">
        <w:rPr>
          <w:rFonts w:ascii="Cambria" w:hAnsi="Cambria"/>
          <w:i/>
          <w:iCs/>
          <w:color w:val="000000" w:themeColor="text1"/>
        </w:rPr>
        <w:t>(c) is endangering or likely to endanger the safety of any other person; or</w:t>
      </w:r>
    </w:p>
    <w:p w:rsidR="000C1E6D" w:rsidRPr="00164063" w:rsidRDefault="000C1E6D" w:rsidP="000C1E6D">
      <w:pPr>
        <w:shd w:val="clear" w:color="auto" w:fill="FFFFFF"/>
        <w:ind w:left="1440"/>
        <w:rPr>
          <w:rFonts w:ascii="Cambria" w:hAnsi="Cambria"/>
          <w:i/>
          <w:iCs/>
          <w:color w:val="000000" w:themeColor="text1"/>
        </w:rPr>
      </w:pPr>
    </w:p>
    <w:p w:rsidR="000C1E6D" w:rsidRPr="001077A5" w:rsidRDefault="000C1E6D" w:rsidP="000C1E6D">
      <w:pPr>
        <w:shd w:val="clear" w:color="auto" w:fill="FFFFFF"/>
        <w:ind w:left="1440"/>
        <w:rPr>
          <w:rFonts w:ascii="Cambria" w:hAnsi="Cambria"/>
          <w:i/>
          <w:iCs/>
          <w:color w:val="000000" w:themeColor="text1"/>
        </w:rPr>
      </w:pPr>
      <w:r w:rsidRPr="001077A5">
        <w:rPr>
          <w:rFonts w:ascii="Cambria" w:hAnsi="Cambria"/>
          <w:i/>
          <w:iCs/>
          <w:color w:val="000000" w:themeColor="text1"/>
        </w:rPr>
        <w:t>(d) has committed or is likely to commit a breach of the peace.</w:t>
      </w:r>
    </w:p>
    <w:p w:rsidR="000C1E6D" w:rsidRPr="00164063" w:rsidRDefault="000C1E6D" w:rsidP="000C1E6D">
      <w:pPr>
        <w:ind w:right="-205"/>
        <w:jc w:val="both"/>
        <w:rPr>
          <w:rFonts w:ascii="Cambria" w:hAnsi="Cambria"/>
          <w:i/>
          <w:iCs/>
          <w:color w:val="000000" w:themeColor="text1"/>
        </w:rPr>
      </w:pPr>
    </w:p>
    <w:p w:rsidR="000C1E6D" w:rsidRPr="00164063" w:rsidRDefault="000C1E6D" w:rsidP="000C1E6D">
      <w:pPr>
        <w:ind w:right="-205"/>
        <w:jc w:val="both"/>
        <w:rPr>
          <w:rFonts w:ascii="Cambria" w:hAnsi="Cambria"/>
          <w:color w:val="000000" w:themeColor="text1"/>
          <w:shd w:val="clear" w:color="auto" w:fill="FFFFFF"/>
        </w:rPr>
      </w:pPr>
      <w:r w:rsidRPr="00164063">
        <w:rPr>
          <w:rFonts w:ascii="Cambria" w:hAnsi="Cambria"/>
          <w:color w:val="000000" w:themeColor="text1"/>
          <w:shd w:val="clear" w:color="auto" w:fill="FFFFFF"/>
        </w:rPr>
        <w:t xml:space="preserve">The High Court has consistently held that the </w:t>
      </w:r>
      <w:r w:rsidRPr="000C1E6D">
        <w:rPr>
          <w:rFonts w:ascii="Cambria" w:hAnsi="Cambria"/>
          <w:color w:val="000000" w:themeColor="text1"/>
          <w:shd w:val="clear" w:color="auto" w:fill="FFFFFF"/>
        </w:rPr>
        <w:t>objective of statutory interpretation is to give effect to</w:t>
      </w:r>
      <w:r w:rsidRPr="00164063">
        <w:rPr>
          <w:rFonts w:ascii="Cambria" w:hAnsi="Cambria"/>
          <w:color w:val="000000" w:themeColor="text1"/>
          <w:shd w:val="clear" w:color="auto" w:fill="FFFFFF"/>
        </w:rPr>
        <w:t xml:space="preserve"> the</w:t>
      </w:r>
      <w:r w:rsidRPr="000C1E6D">
        <w:rPr>
          <w:rFonts w:ascii="Cambria" w:hAnsi="Cambria"/>
          <w:color w:val="000000" w:themeColor="text1"/>
          <w:shd w:val="clear" w:color="auto" w:fill="FFFFFF"/>
        </w:rPr>
        <w:t xml:space="preserve"> parliament's purpose as expressed in the language of the legislation</w:t>
      </w:r>
      <w:r w:rsidRPr="00164063">
        <w:rPr>
          <w:rFonts w:ascii="Cambria" w:hAnsi="Cambria"/>
          <w:color w:val="000000" w:themeColor="text1"/>
          <w:shd w:val="clear" w:color="auto" w:fill="FFFFFF"/>
        </w:rPr>
        <w:t>.</w:t>
      </w:r>
      <w:r w:rsidRPr="00164063">
        <w:rPr>
          <w:rStyle w:val="FootnoteReference"/>
          <w:rFonts w:ascii="Cambria" w:hAnsi="Cambria"/>
          <w:color w:val="000000" w:themeColor="text1"/>
          <w:shd w:val="clear" w:color="auto" w:fill="FFFFFF"/>
        </w:rPr>
        <w:footnoteReference w:id="1"/>
      </w:r>
      <w:r w:rsidRPr="00164063">
        <w:rPr>
          <w:rFonts w:ascii="Cambria" w:hAnsi="Cambria"/>
          <w:color w:val="000000" w:themeColor="text1"/>
          <w:shd w:val="clear" w:color="auto" w:fill="FFFFFF"/>
        </w:rPr>
        <w:t xml:space="preserve"> This applies to both the courts in </w:t>
      </w:r>
      <w:r w:rsidRPr="00164063">
        <w:rPr>
          <w:rFonts w:ascii="Cambria" w:hAnsi="Cambria"/>
          <w:i/>
          <w:iCs/>
          <w:color w:val="000000" w:themeColor="text1"/>
          <w:shd w:val="clear" w:color="auto" w:fill="FFFFFF"/>
        </w:rPr>
        <w:t>interpreting</w:t>
      </w:r>
      <w:r w:rsidRPr="00164063">
        <w:rPr>
          <w:rFonts w:ascii="Cambria" w:hAnsi="Cambria"/>
          <w:color w:val="000000" w:themeColor="text1"/>
          <w:shd w:val="clear" w:color="auto" w:fill="FFFFFF"/>
        </w:rPr>
        <w:t xml:space="preserve"> legislation and the police in </w:t>
      </w:r>
      <w:r w:rsidRPr="00164063">
        <w:rPr>
          <w:rFonts w:ascii="Cambria" w:hAnsi="Cambria"/>
          <w:i/>
          <w:iCs/>
          <w:color w:val="000000" w:themeColor="text1"/>
          <w:shd w:val="clear" w:color="auto" w:fill="FFFFFF"/>
        </w:rPr>
        <w:t>applying</w:t>
      </w:r>
      <w:r w:rsidRPr="00164063">
        <w:rPr>
          <w:rFonts w:ascii="Cambria" w:hAnsi="Cambria"/>
          <w:color w:val="000000" w:themeColor="text1"/>
          <w:shd w:val="clear" w:color="auto" w:fill="FFFFFF"/>
        </w:rPr>
        <w:t xml:space="preserve"> legislation. </w:t>
      </w:r>
    </w:p>
    <w:p w:rsidR="00164063" w:rsidRPr="00164063" w:rsidRDefault="00164063" w:rsidP="000C1E6D">
      <w:pPr>
        <w:ind w:right="-205"/>
        <w:jc w:val="both"/>
        <w:rPr>
          <w:rFonts w:ascii="Cambria" w:hAnsi="Cambria"/>
          <w:color w:val="000000" w:themeColor="text1"/>
          <w:shd w:val="clear" w:color="auto" w:fill="FFFFFF"/>
        </w:rPr>
      </w:pPr>
    </w:p>
    <w:p w:rsidR="00164063" w:rsidRPr="00164063" w:rsidRDefault="00164063" w:rsidP="00164063">
      <w:pPr>
        <w:ind w:right="-205"/>
        <w:jc w:val="both"/>
        <w:rPr>
          <w:rFonts w:ascii="Cambria" w:hAnsi="Cambria"/>
          <w:color w:val="000000" w:themeColor="text1"/>
          <w:shd w:val="clear" w:color="auto" w:fill="FFFFFF"/>
        </w:rPr>
      </w:pPr>
      <w:r w:rsidRPr="00164063">
        <w:rPr>
          <w:rFonts w:ascii="Cambria" w:hAnsi="Cambria"/>
          <w:color w:val="000000" w:themeColor="text1"/>
          <w:shd w:val="clear" w:color="auto" w:fill="FFFFFF"/>
        </w:rPr>
        <w:t xml:space="preserve">Amongst the many definitions of ‘obstruct’ and ‘obstruction’, the </w:t>
      </w:r>
      <w:r w:rsidRPr="00164063">
        <w:rPr>
          <w:rFonts w:ascii="Cambria" w:hAnsi="Cambria"/>
          <w:i/>
          <w:iCs/>
          <w:color w:val="000000" w:themeColor="text1"/>
          <w:shd w:val="clear" w:color="auto" w:fill="FFFFFF"/>
        </w:rPr>
        <w:t>Macquarie Dictionary</w:t>
      </w:r>
      <w:r w:rsidRPr="00164063">
        <w:rPr>
          <w:rStyle w:val="FootnoteReference"/>
          <w:rFonts w:ascii="Cambria" w:hAnsi="Cambria"/>
          <w:color w:val="000000" w:themeColor="text1"/>
          <w:shd w:val="clear" w:color="auto" w:fill="FFFFFF"/>
        </w:rPr>
        <w:footnoteReference w:id="2"/>
      </w:r>
      <w:r w:rsidRPr="00164063">
        <w:rPr>
          <w:rFonts w:ascii="Cambria" w:hAnsi="Cambria"/>
          <w:color w:val="000000" w:themeColor="text1"/>
          <w:shd w:val="clear" w:color="auto" w:fill="FFFFFF"/>
        </w:rPr>
        <w:t xml:space="preserve"> provides the following definitions:</w:t>
      </w:r>
    </w:p>
    <w:p w:rsidR="00164063" w:rsidRPr="00164063" w:rsidRDefault="00164063" w:rsidP="00164063">
      <w:pPr>
        <w:ind w:left="720" w:right="-205"/>
        <w:jc w:val="both"/>
        <w:rPr>
          <w:rFonts w:ascii="Cambria" w:hAnsi="Cambria"/>
          <w:i/>
          <w:iCs/>
          <w:color w:val="000000" w:themeColor="text1"/>
          <w:shd w:val="clear" w:color="auto" w:fill="FFFFFF"/>
        </w:rPr>
      </w:pPr>
      <w:r w:rsidRPr="00164063">
        <w:rPr>
          <w:rFonts w:ascii="Cambria" w:hAnsi="Cambria"/>
          <w:b/>
          <w:bCs/>
          <w:i/>
          <w:iCs/>
          <w:color w:val="000000" w:themeColor="text1"/>
          <w:shd w:val="clear" w:color="auto" w:fill="FFFFFF"/>
        </w:rPr>
        <w:lastRenderedPageBreak/>
        <w:t>obstruct</w:t>
      </w:r>
      <w:r w:rsidRPr="00164063">
        <w:rPr>
          <w:rFonts w:ascii="Cambria" w:hAnsi="Cambria"/>
          <w:i/>
          <w:iCs/>
          <w:color w:val="000000" w:themeColor="text1"/>
          <w:shd w:val="clear" w:color="auto" w:fill="FFFFFF"/>
        </w:rPr>
        <w:t xml:space="preserve"> 1. to block or close up, or make difficult of passage, with obstacles, as a way, road, channel, or the like. 2. To interrupt, make difficult, or oppose the passage, progress, course, etc. </w:t>
      </w:r>
    </w:p>
    <w:p w:rsidR="00164063" w:rsidRPr="00164063" w:rsidRDefault="00164063" w:rsidP="00164063">
      <w:pPr>
        <w:ind w:left="720" w:right="-205"/>
        <w:jc w:val="both"/>
        <w:rPr>
          <w:rFonts w:ascii="Cambria" w:hAnsi="Cambria"/>
          <w:i/>
          <w:iCs/>
          <w:color w:val="000000" w:themeColor="text1"/>
          <w:shd w:val="clear" w:color="auto" w:fill="FFFFFF"/>
        </w:rPr>
      </w:pPr>
    </w:p>
    <w:p w:rsidR="00164063" w:rsidRPr="00164063" w:rsidRDefault="00164063" w:rsidP="00164063">
      <w:pPr>
        <w:ind w:left="720" w:right="-205"/>
        <w:jc w:val="both"/>
        <w:rPr>
          <w:rFonts w:ascii="Cambria" w:hAnsi="Cambria"/>
          <w:i/>
          <w:iCs/>
          <w:color w:val="000000" w:themeColor="text1"/>
          <w:shd w:val="clear" w:color="auto" w:fill="FFFFFF"/>
        </w:rPr>
      </w:pPr>
      <w:r w:rsidRPr="00164063">
        <w:rPr>
          <w:rFonts w:ascii="Cambria" w:hAnsi="Cambria"/>
          <w:b/>
          <w:bCs/>
          <w:i/>
          <w:iCs/>
          <w:color w:val="000000" w:themeColor="text1"/>
          <w:shd w:val="clear" w:color="auto" w:fill="FFFFFF"/>
        </w:rPr>
        <w:t>obstruction</w:t>
      </w:r>
      <w:r w:rsidRPr="00164063">
        <w:rPr>
          <w:rFonts w:ascii="Cambria" w:hAnsi="Cambria"/>
          <w:i/>
          <w:iCs/>
          <w:color w:val="000000" w:themeColor="text1"/>
          <w:shd w:val="clear" w:color="auto" w:fill="FFFFFF"/>
        </w:rPr>
        <w:t xml:space="preserve"> 1. something that obstructs; an obstacle or hindrance. 2. The act of obstructing. </w:t>
      </w:r>
    </w:p>
    <w:p w:rsidR="00164063" w:rsidRPr="00164063" w:rsidRDefault="00164063" w:rsidP="00164063">
      <w:pPr>
        <w:ind w:right="-205"/>
        <w:jc w:val="both"/>
        <w:rPr>
          <w:rFonts w:ascii="Cambria" w:hAnsi="Cambria"/>
          <w:color w:val="000000" w:themeColor="text1"/>
          <w:shd w:val="clear" w:color="auto" w:fill="FFFFFF"/>
        </w:rPr>
      </w:pPr>
    </w:p>
    <w:p w:rsidR="00164063" w:rsidRPr="00164063" w:rsidRDefault="00164063" w:rsidP="00164063">
      <w:pPr>
        <w:ind w:right="-205"/>
        <w:jc w:val="both"/>
        <w:rPr>
          <w:rFonts w:ascii="Cambria" w:hAnsi="Cambria"/>
          <w:color w:val="000000" w:themeColor="text1"/>
          <w:shd w:val="clear" w:color="auto" w:fill="FFFFFF"/>
        </w:rPr>
      </w:pPr>
      <w:r w:rsidRPr="00164063">
        <w:rPr>
          <w:rFonts w:ascii="Cambria" w:hAnsi="Cambria"/>
          <w:color w:val="000000" w:themeColor="text1"/>
          <w:shd w:val="clear" w:color="auto" w:fill="FFFFFF"/>
        </w:rPr>
        <w:t xml:space="preserve">Similarly, </w:t>
      </w:r>
      <w:r>
        <w:rPr>
          <w:rFonts w:ascii="Cambria" w:hAnsi="Cambria"/>
          <w:color w:val="000000" w:themeColor="text1"/>
          <w:shd w:val="clear" w:color="auto" w:fill="FFFFFF"/>
        </w:rPr>
        <w:t>‘</w:t>
      </w:r>
      <w:r w:rsidRPr="00164063">
        <w:rPr>
          <w:rFonts w:ascii="Cambria" w:hAnsi="Cambria"/>
          <w:color w:val="000000" w:themeColor="text1"/>
          <w:shd w:val="clear" w:color="auto" w:fill="FFFFFF"/>
        </w:rPr>
        <w:t>breach of the peace</w:t>
      </w:r>
      <w:r>
        <w:rPr>
          <w:rFonts w:ascii="Cambria" w:hAnsi="Cambria"/>
          <w:color w:val="000000" w:themeColor="text1"/>
          <w:shd w:val="clear" w:color="auto" w:fill="FFFFFF"/>
        </w:rPr>
        <w:t>’</w:t>
      </w:r>
      <w:r w:rsidRPr="00164063">
        <w:rPr>
          <w:rFonts w:ascii="Cambria" w:hAnsi="Cambria"/>
          <w:color w:val="000000" w:themeColor="text1"/>
          <w:shd w:val="clear" w:color="auto" w:fill="FFFFFF"/>
        </w:rPr>
        <w:t xml:space="preserve"> is defined as follows:</w:t>
      </w:r>
      <w:r w:rsidRPr="00164063">
        <w:rPr>
          <w:rStyle w:val="FootnoteReference"/>
          <w:rFonts w:ascii="Cambria" w:hAnsi="Cambria"/>
          <w:color w:val="000000" w:themeColor="text1"/>
          <w:shd w:val="clear" w:color="auto" w:fill="FFFFFF"/>
        </w:rPr>
        <w:footnoteReference w:id="3"/>
      </w:r>
    </w:p>
    <w:p w:rsidR="00164063" w:rsidRPr="00164063" w:rsidRDefault="00164063" w:rsidP="00164063">
      <w:pPr>
        <w:ind w:right="-205"/>
        <w:jc w:val="both"/>
        <w:rPr>
          <w:rFonts w:ascii="Cambria" w:hAnsi="Cambria"/>
          <w:color w:val="000000" w:themeColor="text1"/>
          <w:shd w:val="clear" w:color="auto" w:fill="FFFFFF"/>
        </w:rPr>
      </w:pPr>
    </w:p>
    <w:p w:rsidR="00164063" w:rsidRPr="00164063" w:rsidRDefault="00164063" w:rsidP="00164063">
      <w:pPr>
        <w:ind w:left="720" w:right="-205"/>
        <w:jc w:val="both"/>
        <w:rPr>
          <w:rFonts w:ascii="Cambria" w:hAnsi="Cambria"/>
          <w:i/>
          <w:iCs/>
          <w:color w:val="000000" w:themeColor="text1"/>
          <w:shd w:val="clear" w:color="auto" w:fill="FFFFFF"/>
        </w:rPr>
      </w:pPr>
      <w:r w:rsidRPr="00164063">
        <w:rPr>
          <w:rFonts w:ascii="Cambria" w:hAnsi="Cambria"/>
          <w:b/>
          <w:bCs/>
          <w:i/>
          <w:iCs/>
          <w:color w:val="000000" w:themeColor="text1"/>
          <w:shd w:val="clear" w:color="auto" w:fill="FFFFFF"/>
        </w:rPr>
        <w:t>breach of the peace</w:t>
      </w:r>
      <w:r w:rsidRPr="00164063">
        <w:rPr>
          <w:rFonts w:ascii="Cambria" w:hAnsi="Cambria"/>
          <w:i/>
          <w:iCs/>
          <w:color w:val="000000" w:themeColor="text1"/>
          <w:shd w:val="clear" w:color="auto" w:fill="FFFFFF"/>
        </w:rPr>
        <w:t xml:space="preserve"> any disturbance of public order whereby harm is caused or threatened to persons or property, including the specific offences of assault, affray, riot and unlawful assembling.   </w:t>
      </w:r>
    </w:p>
    <w:p w:rsidR="00164063" w:rsidRPr="00164063" w:rsidRDefault="00164063" w:rsidP="00164063">
      <w:pPr>
        <w:ind w:right="-205"/>
        <w:jc w:val="both"/>
        <w:rPr>
          <w:rFonts w:ascii="Cambria" w:hAnsi="Cambria"/>
          <w:color w:val="000000" w:themeColor="text1"/>
          <w:shd w:val="clear" w:color="auto" w:fill="FFFFFF"/>
        </w:rPr>
      </w:pPr>
    </w:p>
    <w:p w:rsidR="00164063" w:rsidRPr="00164063" w:rsidRDefault="00164063" w:rsidP="000C1E6D">
      <w:pPr>
        <w:ind w:right="-205"/>
        <w:jc w:val="both"/>
        <w:rPr>
          <w:rFonts w:ascii="Cambria" w:hAnsi="Cambria"/>
          <w:color w:val="000000" w:themeColor="text1"/>
          <w:shd w:val="clear" w:color="auto" w:fill="FFFFFF"/>
        </w:rPr>
      </w:pPr>
      <w:r w:rsidRPr="00164063">
        <w:rPr>
          <w:rFonts w:ascii="Cambria" w:hAnsi="Cambria"/>
          <w:color w:val="000000" w:themeColor="text1"/>
          <w:shd w:val="clear" w:color="auto" w:fill="FFFFFF"/>
        </w:rPr>
        <w:t xml:space="preserve">Section 15B(1)(b) already provides the police with the power to move on persons who are “obstructing or likely to obstruct” persons prevented or deterred from entering public facilities or businesses because the definition of ‘obstruct’ and </w:t>
      </w:r>
      <w:r>
        <w:rPr>
          <w:rFonts w:ascii="Cambria" w:hAnsi="Cambria"/>
          <w:color w:val="000000" w:themeColor="text1"/>
          <w:shd w:val="clear" w:color="auto" w:fill="FFFFFF"/>
        </w:rPr>
        <w:t>‘</w:t>
      </w:r>
      <w:r w:rsidRPr="00164063">
        <w:rPr>
          <w:rFonts w:ascii="Cambria" w:hAnsi="Cambria"/>
          <w:color w:val="000000" w:themeColor="text1"/>
          <w:shd w:val="clear" w:color="auto" w:fill="FFFFFF"/>
        </w:rPr>
        <w:t>obstruction’ includes “to block or close up, or make difficult of passage” and “to interrupt, make difficult or oppose the passage…”. In our opinion</w:t>
      </w:r>
      <w:r>
        <w:rPr>
          <w:rFonts w:ascii="Cambria" w:hAnsi="Cambria"/>
          <w:color w:val="000000" w:themeColor="text1"/>
          <w:shd w:val="clear" w:color="auto" w:fill="FFFFFF"/>
        </w:rPr>
        <w:t>,</w:t>
      </w:r>
      <w:r w:rsidRPr="00164063">
        <w:rPr>
          <w:rFonts w:ascii="Cambria" w:hAnsi="Cambria"/>
          <w:color w:val="000000" w:themeColor="text1"/>
          <w:shd w:val="clear" w:color="auto" w:fill="FFFFFF"/>
        </w:rPr>
        <w:t xml:space="preserve"> the insertion of clause 15B(1)(ca)(ii)-(ii</w:t>
      </w:r>
      <w:r>
        <w:rPr>
          <w:rFonts w:ascii="Cambria" w:hAnsi="Cambria"/>
          <w:color w:val="000000" w:themeColor="text1"/>
          <w:shd w:val="clear" w:color="auto" w:fill="FFFFFF"/>
        </w:rPr>
        <w:t>i</w:t>
      </w:r>
      <w:r w:rsidRPr="00164063">
        <w:rPr>
          <w:rFonts w:ascii="Cambria" w:hAnsi="Cambria"/>
          <w:color w:val="000000" w:themeColor="text1"/>
          <w:shd w:val="clear" w:color="auto" w:fill="FFFFFF"/>
        </w:rPr>
        <w:t xml:space="preserve">) and the intention to move on persons “prevented or deterred from entering” either a business or public facility is a duplication of section 15B(1)(b). In other words, both clause </w:t>
      </w:r>
      <w:r w:rsidRPr="00164063">
        <w:rPr>
          <w:rFonts w:ascii="Cambria" w:hAnsi="Cambria"/>
          <w:color w:val="000000" w:themeColor="text1"/>
          <w:shd w:val="clear" w:color="auto" w:fill="FFFFFF"/>
        </w:rPr>
        <w:t>15B(1)(ca)(ii)</w:t>
      </w:r>
      <w:r w:rsidRPr="00164063">
        <w:rPr>
          <w:rFonts w:ascii="Cambria" w:hAnsi="Cambria"/>
          <w:color w:val="000000" w:themeColor="text1"/>
          <w:shd w:val="clear" w:color="auto" w:fill="FFFFFF"/>
        </w:rPr>
        <w:t>-</w:t>
      </w:r>
      <w:r w:rsidRPr="00164063">
        <w:rPr>
          <w:rFonts w:ascii="Cambria" w:hAnsi="Cambria"/>
          <w:color w:val="000000" w:themeColor="text1"/>
          <w:shd w:val="clear" w:color="auto" w:fill="FFFFFF"/>
        </w:rPr>
        <w:t xml:space="preserve">(iii) </w:t>
      </w:r>
      <w:r w:rsidRPr="00164063">
        <w:rPr>
          <w:rFonts w:ascii="Cambria" w:hAnsi="Cambria"/>
          <w:color w:val="000000" w:themeColor="text1"/>
          <w:shd w:val="clear" w:color="auto" w:fill="FFFFFF"/>
        </w:rPr>
        <w:t xml:space="preserve">are unnecessary and  should be scrapped.  </w:t>
      </w:r>
    </w:p>
    <w:p w:rsidR="00164063" w:rsidRPr="00164063" w:rsidRDefault="00164063" w:rsidP="000C1E6D">
      <w:pPr>
        <w:ind w:right="-205"/>
        <w:jc w:val="both"/>
        <w:rPr>
          <w:rFonts w:ascii="Cambria" w:hAnsi="Cambria"/>
          <w:color w:val="000000" w:themeColor="text1"/>
          <w:shd w:val="clear" w:color="auto" w:fill="FFFFFF"/>
        </w:rPr>
      </w:pPr>
    </w:p>
    <w:p w:rsidR="000C1E6D" w:rsidRPr="00164063" w:rsidRDefault="00164063" w:rsidP="00164063">
      <w:pPr>
        <w:ind w:right="-205"/>
        <w:jc w:val="both"/>
        <w:rPr>
          <w:rFonts w:ascii="Cambria" w:hAnsi="Cambria"/>
          <w:color w:val="000000" w:themeColor="text1"/>
        </w:rPr>
      </w:pPr>
      <w:r w:rsidRPr="00164063">
        <w:rPr>
          <w:rFonts w:ascii="Cambria" w:hAnsi="Cambria"/>
          <w:color w:val="000000" w:themeColor="text1"/>
          <w:shd w:val="clear" w:color="auto" w:fill="FFFFFF"/>
        </w:rPr>
        <w:t>Clause 15B(1)(ca)(</w:t>
      </w:r>
      <w:proofErr w:type="spellStart"/>
      <w:r w:rsidRPr="00164063">
        <w:rPr>
          <w:rFonts w:ascii="Cambria" w:hAnsi="Cambria"/>
          <w:color w:val="000000" w:themeColor="text1"/>
          <w:shd w:val="clear" w:color="auto" w:fill="FFFFFF"/>
        </w:rPr>
        <w:t>i</w:t>
      </w:r>
      <w:proofErr w:type="spellEnd"/>
      <w:r w:rsidRPr="00164063">
        <w:rPr>
          <w:rFonts w:ascii="Cambria" w:hAnsi="Cambria"/>
          <w:color w:val="000000" w:themeColor="text1"/>
          <w:shd w:val="clear" w:color="auto" w:fill="FFFFFF"/>
        </w:rPr>
        <w:t xml:space="preserve">) provides that police </w:t>
      </w:r>
      <w:r>
        <w:rPr>
          <w:rFonts w:ascii="Cambria" w:hAnsi="Cambria"/>
          <w:color w:val="000000" w:themeColor="text1"/>
          <w:shd w:val="clear" w:color="auto" w:fill="FFFFFF"/>
        </w:rPr>
        <w:t xml:space="preserve">officers </w:t>
      </w:r>
      <w:r w:rsidRPr="00164063">
        <w:rPr>
          <w:rFonts w:ascii="Cambria" w:hAnsi="Cambria"/>
          <w:color w:val="000000" w:themeColor="text1"/>
          <w:shd w:val="clear" w:color="auto" w:fill="FFFFFF"/>
        </w:rPr>
        <w:t>can move on a person/s who have “</w:t>
      </w:r>
      <w:r w:rsidRPr="00164063">
        <w:rPr>
          <w:rFonts w:ascii="Cambria" w:hAnsi="Cambria"/>
          <w:color w:val="000000" w:themeColor="text1"/>
        </w:rPr>
        <w:t>intimidate</w:t>
      </w:r>
      <w:r w:rsidRPr="00164063">
        <w:rPr>
          <w:rFonts w:ascii="Cambria" w:hAnsi="Cambria"/>
          <w:color w:val="000000" w:themeColor="text1"/>
        </w:rPr>
        <w:t>d</w:t>
      </w:r>
      <w:r w:rsidRPr="00164063">
        <w:rPr>
          <w:rFonts w:ascii="Cambria" w:hAnsi="Cambria"/>
          <w:color w:val="000000" w:themeColor="text1"/>
        </w:rPr>
        <w:t xml:space="preserve"> or harassed</w:t>
      </w:r>
      <w:r w:rsidRPr="00164063">
        <w:rPr>
          <w:rFonts w:ascii="Cambria" w:hAnsi="Cambria"/>
          <w:color w:val="000000" w:themeColor="text1"/>
        </w:rPr>
        <w:t xml:space="preserve"> </w:t>
      </w:r>
      <w:r w:rsidRPr="00164063">
        <w:rPr>
          <w:rFonts w:ascii="Cambria" w:hAnsi="Cambria"/>
          <w:color w:val="000000" w:themeColor="text1"/>
        </w:rPr>
        <w:t>a person</w:t>
      </w:r>
      <w:r w:rsidRPr="00164063">
        <w:rPr>
          <w:rFonts w:ascii="Cambria" w:hAnsi="Cambria"/>
          <w:color w:val="000000" w:themeColor="text1"/>
        </w:rPr>
        <w:t xml:space="preserve">”. </w:t>
      </w:r>
      <w:r>
        <w:rPr>
          <w:rFonts w:ascii="Cambria" w:hAnsi="Cambria"/>
          <w:color w:val="000000" w:themeColor="text1"/>
        </w:rPr>
        <w:t>Again</w:t>
      </w:r>
      <w:r w:rsidRPr="00164063">
        <w:rPr>
          <w:rFonts w:ascii="Cambria" w:hAnsi="Cambria"/>
          <w:color w:val="000000" w:themeColor="text1"/>
        </w:rPr>
        <w:t xml:space="preserve">, </w:t>
      </w:r>
      <w:r>
        <w:rPr>
          <w:rFonts w:ascii="Cambria" w:hAnsi="Cambria"/>
          <w:color w:val="000000" w:themeColor="text1"/>
        </w:rPr>
        <w:t xml:space="preserve">we reiterate that </w:t>
      </w:r>
      <w:r w:rsidRPr="00164063">
        <w:rPr>
          <w:rFonts w:ascii="Cambria" w:hAnsi="Cambria"/>
          <w:color w:val="000000" w:themeColor="text1"/>
        </w:rPr>
        <w:t>there is already sufficient scope within section 15B of the Act to move on persons who have intimidated or harassed others</w:t>
      </w:r>
      <w:r>
        <w:rPr>
          <w:rFonts w:ascii="Cambria" w:hAnsi="Cambria"/>
          <w:color w:val="000000" w:themeColor="text1"/>
        </w:rPr>
        <w:t xml:space="preserve">. </w:t>
      </w:r>
      <w:r w:rsidRPr="00164063">
        <w:rPr>
          <w:rFonts w:ascii="Cambria" w:hAnsi="Cambria"/>
          <w:color w:val="000000" w:themeColor="text1"/>
        </w:rPr>
        <w:t>Importantly, t</w:t>
      </w:r>
      <w:r w:rsidR="000C1E6D" w:rsidRPr="00164063">
        <w:rPr>
          <w:rFonts w:ascii="Cambria" w:hAnsi="Cambria"/>
          <w:color w:val="000000" w:themeColor="text1"/>
        </w:rPr>
        <w:t xml:space="preserve">he </w:t>
      </w:r>
      <w:r w:rsidR="000C1E6D" w:rsidRPr="00164063">
        <w:rPr>
          <w:rFonts w:ascii="Cambria" w:hAnsi="Cambria"/>
          <w:i/>
          <w:iCs/>
          <w:color w:val="000000" w:themeColor="text1"/>
        </w:rPr>
        <w:t xml:space="preserve">Tasmanian Police </w:t>
      </w:r>
      <w:r w:rsidRPr="00164063">
        <w:rPr>
          <w:rFonts w:ascii="Cambria" w:hAnsi="Cambria"/>
          <w:i/>
          <w:iCs/>
          <w:color w:val="000000" w:themeColor="text1"/>
        </w:rPr>
        <w:t>M</w:t>
      </w:r>
      <w:r w:rsidR="000C1E6D" w:rsidRPr="00164063">
        <w:rPr>
          <w:rFonts w:ascii="Cambria" w:hAnsi="Cambria"/>
          <w:i/>
          <w:iCs/>
          <w:color w:val="000000" w:themeColor="text1"/>
        </w:rPr>
        <w:t>anual</w:t>
      </w:r>
      <w:r w:rsidR="000C1E6D" w:rsidRPr="00164063">
        <w:rPr>
          <w:rFonts w:ascii="Cambria" w:hAnsi="Cambria"/>
          <w:color w:val="000000" w:themeColor="text1"/>
        </w:rPr>
        <w:t xml:space="preserve"> </w:t>
      </w:r>
      <w:r w:rsidRPr="00164063">
        <w:rPr>
          <w:rFonts w:ascii="Cambria" w:hAnsi="Cambria"/>
          <w:color w:val="000000" w:themeColor="text1"/>
        </w:rPr>
        <w:t>appears to agree with</w:t>
      </w:r>
      <w:r>
        <w:rPr>
          <w:rFonts w:ascii="Cambria" w:hAnsi="Cambria"/>
          <w:color w:val="000000" w:themeColor="text1"/>
        </w:rPr>
        <w:t xml:space="preserve"> our interpretation with</w:t>
      </w:r>
      <w:r w:rsidRPr="00164063">
        <w:rPr>
          <w:rFonts w:ascii="Cambria" w:hAnsi="Cambria"/>
          <w:color w:val="000000" w:themeColor="text1"/>
        </w:rPr>
        <w:t xml:space="preserve"> the following noted about </w:t>
      </w:r>
      <w:r w:rsidR="000C1E6D" w:rsidRPr="00164063">
        <w:rPr>
          <w:rFonts w:ascii="Cambria" w:hAnsi="Cambria"/>
          <w:color w:val="000000" w:themeColor="text1"/>
        </w:rPr>
        <w:t>section 15B of the Act:</w:t>
      </w:r>
      <w:r w:rsidRPr="00164063">
        <w:rPr>
          <w:rStyle w:val="FootnoteReference"/>
          <w:rFonts w:ascii="Cambria" w:hAnsi="Cambria"/>
          <w:color w:val="000000" w:themeColor="text1"/>
        </w:rPr>
        <w:footnoteReference w:id="4"/>
      </w:r>
      <w:r w:rsidR="000C1E6D" w:rsidRPr="00164063">
        <w:rPr>
          <w:rFonts w:ascii="Cambria" w:hAnsi="Cambria"/>
          <w:color w:val="000000" w:themeColor="text1"/>
        </w:rPr>
        <w:t xml:space="preserve"> </w:t>
      </w:r>
    </w:p>
    <w:p w:rsidR="000C1E6D" w:rsidRPr="00164063" w:rsidRDefault="000C1E6D" w:rsidP="000C1E6D">
      <w:pPr>
        <w:rPr>
          <w:rFonts w:ascii="Cambria" w:hAnsi="Cambria"/>
          <w:color w:val="000000" w:themeColor="text1"/>
        </w:rPr>
      </w:pPr>
    </w:p>
    <w:p w:rsidR="000C1E6D" w:rsidRPr="00164063" w:rsidRDefault="000C1E6D" w:rsidP="00164063">
      <w:pPr>
        <w:ind w:left="720"/>
        <w:jc w:val="both"/>
        <w:rPr>
          <w:rFonts w:ascii="Cambria" w:hAnsi="Cambria"/>
          <w:b/>
          <w:bCs/>
          <w:color w:val="000000" w:themeColor="text1"/>
        </w:rPr>
      </w:pPr>
      <w:r w:rsidRPr="000C1E6D">
        <w:rPr>
          <w:rFonts w:ascii="Cambria" w:hAnsi="Cambria"/>
          <w:b/>
          <w:bCs/>
          <w:color w:val="000000" w:themeColor="text1"/>
        </w:rPr>
        <w:t xml:space="preserve">2.22.3 DISPERSAL OF PERSONS FROM PUBLIC PLACES ORDER </w:t>
      </w:r>
    </w:p>
    <w:p w:rsidR="000C1E6D" w:rsidRPr="00164063" w:rsidRDefault="000C1E6D" w:rsidP="00164063">
      <w:pPr>
        <w:ind w:left="720"/>
        <w:jc w:val="both"/>
        <w:rPr>
          <w:rFonts w:ascii="Cambria" w:hAnsi="Cambria"/>
          <w:color w:val="000000" w:themeColor="text1"/>
        </w:rPr>
      </w:pPr>
      <w:r w:rsidRPr="000C1E6D">
        <w:rPr>
          <w:rFonts w:ascii="Cambria" w:hAnsi="Cambria"/>
          <w:color w:val="000000" w:themeColor="text1"/>
        </w:rPr>
        <w:t xml:space="preserve">(1) Police officers who intend to rely upon the provisions of section 15B of the </w:t>
      </w:r>
      <w:r w:rsidRPr="000C1E6D">
        <w:rPr>
          <w:rFonts w:ascii="Cambria" w:hAnsi="Cambria"/>
          <w:i/>
          <w:iCs/>
          <w:color w:val="000000" w:themeColor="text1"/>
        </w:rPr>
        <w:t>Police Offences Act 1935</w:t>
      </w:r>
      <w:r w:rsidRPr="000C1E6D">
        <w:rPr>
          <w:rFonts w:ascii="Cambria" w:hAnsi="Cambria"/>
          <w:color w:val="000000" w:themeColor="text1"/>
        </w:rPr>
        <w:t xml:space="preserve"> (dispersal of persons in a public place) shall, before effecting an arrest: </w:t>
      </w:r>
    </w:p>
    <w:p w:rsidR="000C1E6D" w:rsidRPr="00164063" w:rsidRDefault="000C1E6D" w:rsidP="00164063">
      <w:pPr>
        <w:ind w:left="720"/>
        <w:jc w:val="both"/>
        <w:rPr>
          <w:rFonts w:ascii="Cambria" w:hAnsi="Cambria"/>
          <w:color w:val="000000" w:themeColor="text1"/>
        </w:rPr>
      </w:pPr>
    </w:p>
    <w:p w:rsidR="000C1E6D" w:rsidRPr="00164063" w:rsidRDefault="000C1E6D" w:rsidP="00164063">
      <w:pPr>
        <w:ind w:left="1440"/>
        <w:jc w:val="both"/>
        <w:rPr>
          <w:rFonts w:ascii="Cambria" w:hAnsi="Cambria"/>
          <w:color w:val="000000" w:themeColor="text1"/>
        </w:rPr>
      </w:pPr>
      <w:r w:rsidRPr="000C1E6D">
        <w:rPr>
          <w:rFonts w:ascii="Cambria" w:hAnsi="Cambria"/>
          <w:color w:val="000000" w:themeColor="text1"/>
        </w:rPr>
        <w:t xml:space="preserve">(a) if in plain clothes identify themselves as police officers, stating their name rank and station; and </w:t>
      </w:r>
    </w:p>
    <w:p w:rsidR="000C1E6D" w:rsidRPr="00164063" w:rsidRDefault="000C1E6D" w:rsidP="00164063">
      <w:pPr>
        <w:ind w:left="720"/>
        <w:jc w:val="both"/>
        <w:rPr>
          <w:rFonts w:ascii="Cambria" w:hAnsi="Cambria"/>
          <w:color w:val="000000" w:themeColor="text1"/>
        </w:rPr>
      </w:pPr>
    </w:p>
    <w:p w:rsidR="000C1E6D" w:rsidRPr="00164063" w:rsidRDefault="000C1E6D" w:rsidP="00164063">
      <w:pPr>
        <w:ind w:left="720" w:firstLine="720"/>
        <w:jc w:val="both"/>
        <w:rPr>
          <w:rFonts w:ascii="Cambria" w:hAnsi="Cambria"/>
          <w:color w:val="000000" w:themeColor="text1"/>
        </w:rPr>
      </w:pPr>
      <w:r w:rsidRPr="000C1E6D">
        <w:rPr>
          <w:rFonts w:ascii="Cambria" w:hAnsi="Cambria"/>
          <w:color w:val="000000" w:themeColor="text1"/>
        </w:rPr>
        <w:t>(b) direct the person/s to leave the public place;</w:t>
      </w:r>
      <w:r w:rsidRPr="00164063">
        <w:rPr>
          <w:rFonts w:ascii="Cambria" w:hAnsi="Cambria"/>
          <w:color w:val="000000" w:themeColor="text1"/>
        </w:rPr>
        <w:t xml:space="preserve"> </w:t>
      </w:r>
      <w:r w:rsidRPr="000C1E6D">
        <w:rPr>
          <w:rFonts w:ascii="Cambria" w:hAnsi="Cambria"/>
          <w:color w:val="000000" w:themeColor="text1"/>
        </w:rPr>
        <w:t xml:space="preserve">and </w:t>
      </w:r>
    </w:p>
    <w:p w:rsidR="000C1E6D" w:rsidRPr="00164063" w:rsidRDefault="000C1E6D" w:rsidP="00164063">
      <w:pPr>
        <w:ind w:left="720"/>
        <w:jc w:val="both"/>
        <w:rPr>
          <w:rFonts w:ascii="Cambria" w:hAnsi="Cambria"/>
          <w:color w:val="000000" w:themeColor="text1"/>
        </w:rPr>
      </w:pPr>
    </w:p>
    <w:p w:rsidR="000C1E6D" w:rsidRPr="00164063" w:rsidRDefault="000C1E6D" w:rsidP="00164063">
      <w:pPr>
        <w:ind w:left="1440"/>
        <w:jc w:val="both"/>
        <w:rPr>
          <w:rFonts w:ascii="Cambria" w:hAnsi="Cambria"/>
          <w:color w:val="000000" w:themeColor="text1"/>
        </w:rPr>
      </w:pPr>
      <w:r w:rsidRPr="000C1E6D">
        <w:rPr>
          <w:rFonts w:ascii="Cambria" w:hAnsi="Cambria"/>
          <w:color w:val="000000" w:themeColor="text1"/>
        </w:rPr>
        <w:t xml:space="preserve">(c) on failure or refusal, the directed person/s must again be directed to leave. A failure to comply at this point completes the offence and the person/s are subject to arrest and prosecution. </w:t>
      </w:r>
    </w:p>
    <w:p w:rsidR="000C1E6D" w:rsidRPr="00164063" w:rsidRDefault="000C1E6D" w:rsidP="00164063">
      <w:pPr>
        <w:ind w:left="720"/>
        <w:jc w:val="both"/>
        <w:rPr>
          <w:rFonts w:ascii="Cambria" w:hAnsi="Cambria"/>
          <w:color w:val="000000" w:themeColor="text1"/>
        </w:rPr>
      </w:pPr>
    </w:p>
    <w:p w:rsidR="000C1E6D" w:rsidRPr="00164063" w:rsidRDefault="000C1E6D" w:rsidP="00164063">
      <w:pPr>
        <w:ind w:left="720"/>
        <w:jc w:val="both"/>
        <w:rPr>
          <w:rFonts w:ascii="Cambria" w:hAnsi="Cambria"/>
          <w:color w:val="000000" w:themeColor="text1"/>
        </w:rPr>
      </w:pPr>
      <w:r w:rsidRPr="000C1E6D">
        <w:rPr>
          <w:rFonts w:ascii="Cambria" w:hAnsi="Cambria"/>
          <w:color w:val="000000" w:themeColor="text1"/>
        </w:rPr>
        <w:lastRenderedPageBreak/>
        <w:t xml:space="preserve">(2) These provisions are not to be applied to resolve demonstrations, disputes or processions which are being conducted lawfully and in a peaceful manner. </w:t>
      </w:r>
    </w:p>
    <w:p w:rsidR="000C1E6D" w:rsidRPr="00164063" w:rsidRDefault="000C1E6D" w:rsidP="00164063">
      <w:pPr>
        <w:ind w:left="720"/>
        <w:jc w:val="both"/>
        <w:rPr>
          <w:rFonts w:ascii="Cambria" w:hAnsi="Cambria"/>
          <w:color w:val="000000" w:themeColor="text1"/>
        </w:rPr>
      </w:pPr>
    </w:p>
    <w:p w:rsidR="000C1E6D" w:rsidRPr="00164063" w:rsidRDefault="000C1E6D" w:rsidP="00164063">
      <w:pPr>
        <w:ind w:left="720"/>
        <w:jc w:val="both"/>
        <w:rPr>
          <w:rFonts w:ascii="Cambria" w:hAnsi="Cambria"/>
          <w:b/>
          <w:bCs/>
          <w:color w:val="000000" w:themeColor="text1"/>
        </w:rPr>
      </w:pPr>
      <w:r w:rsidRPr="000C1E6D">
        <w:rPr>
          <w:rFonts w:ascii="Cambria" w:hAnsi="Cambria"/>
          <w:b/>
          <w:bCs/>
          <w:color w:val="000000" w:themeColor="text1"/>
        </w:rPr>
        <w:t xml:space="preserve">(3) Section 15B of the </w:t>
      </w:r>
      <w:r w:rsidRPr="000C1E6D">
        <w:rPr>
          <w:rFonts w:ascii="Cambria" w:hAnsi="Cambria"/>
          <w:b/>
          <w:bCs/>
          <w:i/>
          <w:iCs/>
          <w:color w:val="000000" w:themeColor="text1"/>
        </w:rPr>
        <w:t>Police Offences Act 1935</w:t>
      </w:r>
      <w:r w:rsidRPr="000C1E6D">
        <w:rPr>
          <w:rFonts w:ascii="Cambria" w:hAnsi="Cambria"/>
          <w:b/>
          <w:bCs/>
          <w:color w:val="000000" w:themeColor="text1"/>
        </w:rPr>
        <w:t xml:space="preserve"> provides police officers with the power to disperse individuals or groups who are behaving in a threatening or disorderly manner. This type of behaviour can escalate to violence or intimidation requiring strong police intervention</w:t>
      </w:r>
      <w:r w:rsidR="00164063" w:rsidRPr="00164063">
        <w:rPr>
          <w:rFonts w:ascii="Cambria" w:hAnsi="Cambria"/>
          <w:b/>
          <w:bCs/>
          <w:color w:val="000000" w:themeColor="text1"/>
        </w:rPr>
        <w:t xml:space="preserve"> [emphasis added]</w:t>
      </w:r>
      <w:r w:rsidRPr="000C1E6D">
        <w:rPr>
          <w:rFonts w:ascii="Cambria" w:hAnsi="Cambria"/>
          <w:b/>
          <w:bCs/>
          <w:color w:val="000000" w:themeColor="text1"/>
        </w:rPr>
        <w:t xml:space="preserve">. </w:t>
      </w:r>
    </w:p>
    <w:p w:rsidR="000C1E6D" w:rsidRPr="00164063" w:rsidRDefault="000C1E6D" w:rsidP="00164063">
      <w:pPr>
        <w:ind w:left="720"/>
        <w:jc w:val="both"/>
        <w:rPr>
          <w:rFonts w:ascii="Cambria" w:hAnsi="Cambria"/>
          <w:color w:val="000000" w:themeColor="text1"/>
        </w:rPr>
      </w:pPr>
    </w:p>
    <w:p w:rsidR="000C1E6D" w:rsidRPr="000C1E6D" w:rsidRDefault="000C1E6D" w:rsidP="00164063">
      <w:pPr>
        <w:ind w:left="720"/>
        <w:jc w:val="both"/>
        <w:rPr>
          <w:rFonts w:ascii="Cambria" w:hAnsi="Cambria"/>
          <w:color w:val="000000" w:themeColor="text1"/>
        </w:rPr>
      </w:pPr>
      <w:r w:rsidRPr="000C1E6D">
        <w:rPr>
          <w:rFonts w:ascii="Cambria" w:hAnsi="Cambria"/>
          <w:color w:val="000000" w:themeColor="text1"/>
        </w:rPr>
        <w:t xml:space="preserve">(4) Section 15B of the </w:t>
      </w:r>
      <w:r w:rsidRPr="000C1E6D">
        <w:rPr>
          <w:rFonts w:ascii="Cambria" w:hAnsi="Cambria"/>
          <w:i/>
          <w:iCs/>
          <w:color w:val="000000" w:themeColor="text1"/>
        </w:rPr>
        <w:t>Police Offences Act 1935</w:t>
      </w:r>
      <w:r w:rsidRPr="000C1E6D">
        <w:rPr>
          <w:rFonts w:ascii="Cambria" w:hAnsi="Cambria"/>
          <w:color w:val="000000" w:themeColor="text1"/>
        </w:rPr>
        <w:t xml:space="preserve"> also provides police officers with the power to require a person or group of persons in a public place to disperse where they interfere with police investigating an offence or incident. This includes motor vehicle accidents, disturbances, crime scenes and other incidents where interference may impact on the way an investigation is conducted, or where interference may impact on the safety of victims or other people in the vicinity.</w:t>
      </w:r>
    </w:p>
    <w:p w:rsidR="000C1E6D" w:rsidRPr="00164063" w:rsidRDefault="000C1E6D" w:rsidP="000C1E6D">
      <w:pPr>
        <w:ind w:right="-205"/>
        <w:jc w:val="both"/>
        <w:rPr>
          <w:rFonts w:ascii="Cambria" w:hAnsi="Cambria"/>
          <w:color w:val="000000" w:themeColor="text1"/>
          <w:shd w:val="clear" w:color="auto" w:fill="FFFFFF"/>
        </w:rPr>
      </w:pPr>
    </w:p>
    <w:p w:rsidR="00164063" w:rsidRPr="00164063" w:rsidRDefault="00164063" w:rsidP="000C1E6D">
      <w:pPr>
        <w:ind w:right="-205"/>
        <w:jc w:val="both"/>
        <w:rPr>
          <w:rFonts w:ascii="Cambria" w:hAnsi="Cambria"/>
          <w:color w:val="000000" w:themeColor="text1"/>
          <w:shd w:val="clear" w:color="auto" w:fill="FFFFFF"/>
        </w:rPr>
      </w:pPr>
      <w:r>
        <w:rPr>
          <w:rFonts w:ascii="Cambria" w:hAnsi="Cambria"/>
          <w:color w:val="000000" w:themeColor="text1"/>
          <w:shd w:val="clear" w:color="auto" w:fill="FFFFFF"/>
        </w:rPr>
        <w:t>Expressed in another way</w:t>
      </w:r>
      <w:r w:rsidRPr="00164063">
        <w:rPr>
          <w:rFonts w:ascii="Cambria" w:hAnsi="Cambria"/>
          <w:color w:val="000000" w:themeColor="text1"/>
          <w:shd w:val="clear" w:color="auto" w:fill="FFFFFF"/>
        </w:rPr>
        <w:t xml:space="preserve">, </w:t>
      </w:r>
      <w:r>
        <w:rPr>
          <w:rFonts w:ascii="Cambria" w:hAnsi="Cambria"/>
          <w:color w:val="000000" w:themeColor="text1"/>
          <w:shd w:val="clear" w:color="auto" w:fill="FFFFFF"/>
        </w:rPr>
        <w:t xml:space="preserve">Tasmania Police believe that </w:t>
      </w:r>
      <w:r w:rsidRPr="00164063">
        <w:rPr>
          <w:rFonts w:ascii="Cambria" w:hAnsi="Cambria"/>
          <w:color w:val="000000" w:themeColor="text1"/>
          <w:shd w:val="clear" w:color="auto" w:fill="FFFFFF"/>
        </w:rPr>
        <w:t xml:space="preserve">section 15B of the Act </w:t>
      </w:r>
      <w:r>
        <w:rPr>
          <w:rFonts w:ascii="Cambria" w:hAnsi="Cambria"/>
          <w:color w:val="000000" w:themeColor="text1"/>
          <w:shd w:val="clear" w:color="auto" w:fill="FFFFFF"/>
        </w:rPr>
        <w:t xml:space="preserve">already </w:t>
      </w:r>
      <w:r w:rsidRPr="00164063">
        <w:rPr>
          <w:rFonts w:ascii="Cambria" w:hAnsi="Cambria"/>
          <w:color w:val="000000" w:themeColor="text1"/>
          <w:shd w:val="clear" w:color="auto" w:fill="FFFFFF"/>
        </w:rPr>
        <w:t xml:space="preserve">allows police officers to intervene </w:t>
      </w:r>
      <w:r>
        <w:rPr>
          <w:rFonts w:ascii="Cambria" w:hAnsi="Cambria"/>
          <w:color w:val="000000" w:themeColor="text1"/>
          <w:shd w:val="clear" w:color="auto" w:fill="FFFFFF"/>
        </w:rPr>
        <w:t xml:space="preserve">and move on persons </w:t>
      </w:r>
      <w:r w:rsidRPr="00164063">
        <w:rPr>
          <w:rFonts w:ascii="Cambria" w:hAnsi="Cambria"/>
          <w:color w:val="000000" w:themeColor="text1"/>
          <w:shd w:val="clear" w:color="auto" w:fill="FFFFFF"/>
        </w:rPr>
        <w:t xml:space="preserve">even before the escalation to intimidation. </w:t>
      </w:r>
      <w:r>
        <w:rPr>
          <w:rFonts w:ascii="Cambria" w:hAnsi="Cambria"/>
          <w:color w:val="000000" w:themeColor="text1"/>
          <w:shd w:val="clear" w:color="auto" w:fill="FFFFFF"/>
        </w:rPr>
        <w:t>According to Tasmania Police, p</w:t>
      </w:r>
      <w:r w:rsidRPr="00164063">
        <w:rPr>
          <w:rFonts w:ascii="Cambria" w:hAnsi="Cambria"/>
          <w:color w:val="000000" w:themeColor="text1"/>
          <w:shd w:val="clear" w:color="auto" w:fill="FFFFFF"/>
        </w:rPr>
        <w:t xml:space="preserve">ersons behaving in “a threatening or disorderly manner” is sufficient to warrant </w:t>
      </w:r>
      <w:r>
        <w:rPr>
          <w:rFonts w:ascii="Cambria" w:hAnsi="Cambria"/>
          <w:color w:val="000000" w:themeColor="text1"/>
          <w:shd w:val="clear" w:color="auto" w:fill="FFFFFF"/>
        </w:rPr>
        <w:t>the issuing of a move on order</w:t>
      </w:r>
      <w:r w:rsidRPr="00164063">
        <w:rPr>
          <w:rFonts w:ascii="Cambria" w:hAnsi="Cambria"/>
          <w:color w:val="000000" w:themeColor="text1"/>
          <w:shd w:val="clear" w:color="auto" w:fill="FFFFFF"/>
        </w:rPr>
        <w:t>.</w:t>
      </w:r>
      <w:r>
        <w:rPr>
          <w:rFonts w:ascii="Cambria" w:hAnsi="Cambria"/>
          <w:color w:val="000000" w:themeColor="text1"/>
          <w:shd w:val="clear" w:color="auto" w:fill="FFFFFF"/>
        </w:rPr>
        <w:t xml:space="preserve"> In other words, section 15B of the Act contains a lower threshold for moving on persons than that contained in clause 15B(1)(ca)(</w:t>
      </w:r>
      <w:proofErr w:type="spellStart"/>
      <w:r>
        <w:rPr>
          <w:rFonts w:ascii="Cambria" w:hAnsi="Cambria"/>
          <w:color w:val="000000" w:themeColor="text1"/>
          <w:shd w:val="clear" w:color="auto" w:fill="FFFFFF"/>
        </w:rPr>
        <w:t>i</w:t>
      </w:r>
      <w:proofErr w:type="spellEnd"/>
      <w:r>
        <w:rPr>
          <w:rFonts w:ascii="Cambria" w:hAnsi="Cambria"/>
          <w:color w:val="000000" w:themeColor="text1"/>
          <w:shd w:val="clear" w:color="auto" w:fill="FFFFFF"/>
        </w:rPr>
        <w:t xml:space="preserve">).  </w:t>
      </w:r>
      <w:r w:rsidRPr="00164063">
        <w:rPr>
          <w:rFonts w:ascii="Cambria" w:hAnsi="Cambria"/>
          <w:color w:val="000000" w:themeColor="text1"/>
          <w:shd w:val="clear" w:color="auto" w:fill="FFFFFF"/>
        </w:rPr>
        <w:t xml:space="preserve"> </w:t>
      </w:r>
    </w:p>
    <w:p w:rsidR="00164063" w:rsidRPr="00164063" w:rsidRDefault="00164063" w:rsidP="000C1E6D">
      <w:pPr>
        <w:ind w:right="-205"/>
        <w:jc w:val="both"/>
        <w:rPr>
          <w:rFonts w:ascii="Cambria" w:hAnsi="Cambria"/>
          <w:color w:val="000000" w:themeColor="text1"/>
          <w:shd w:val="clear" w:color="auto" w:fill="FFFFFF"/>
        </w:rPr>
      </w:pPr>
    </w:p>
    <w:p w:rsidR="00164063" w:rsidRPr="00164063" w:rsidRDefault="00164063" w:rsidP="000C1E6D">
      <w:pPr>
        <w:ind w:right="-205"/>
        <w:jc w:val="both"/>
        <w:rPr>
          <w:rFonts w:ascii="Cambria" w:hAnsi="Cambria"/>
          <w:color w:val="000000" w:themeColor="text1"/>
          <w:shd w:val="clear" w:color="auto" w:fill="FFFFFF"/>
        </w:rPr>
      </w:pPr>
      <w:r w:rsidRPr="00164063">
        <w:rPr>
          <w:rFonts w:ascii="Cambria" w:hAnsi="Cambria"/>
          <w:color w:val="000000" w:themeColor="text1"/>
          <w:shd w:val="clear" w:color="auto" w:fill="FFFFFF"/>
        </w:rPr>
        <w:t xml:space="preserve">Finally, we would note that seeking to single out poor people with specific move on powers will further entrench stigmatisation against an already marginalised group. </w:t>
      </w:r>
    </w:p>
    <w:p w:rsidR="00164063" w:rsidRPr="00164063" w:rsidRDefault="00164063" w:rsidP="000C1E6D">
      <w:pPr>
        <w:ind w:right="-205"/>
        <w:jc w:val="both"/>
        <w:rPr>
          <w:rFonts w:ascii="Cambria" w:hAnsi="Cambria"/>
          <w:color w:val="000000" w:themeColor="text1"/>
          <w:shd w:val="clear" w:color="auto" w:fill="FFFFFF"/>
        </w:rPr>
      </w:pPr>
    </w:p>
    <w:p w:rsidR="00164063" w:rsidRPr="00164063" w:rsidRDefault="00164063" w:rsidP="000C1E6D">
      <w:pPr>
        <w:ind w:right="-205"/>
        <w:jc w:val="both"/>
        <w:rPr>
          <w:rFonts w:ascii="Cambria" w:hAnsi="Cambria"/>
          <w:color w:val="000000" w:themeColor="text1"/>
          <w:shd w:val="clear" w:color="auto" w:fill="FFFFFF"/>
        </w:rPr>
      </w:pPr>
      <w:r w:rsidRPr="00164063">
        <w:rPr>
          <w:rFonts w:ascii="Cambria" w:hAnsi="Cambria"/>
          <w:color w:val="000000" w:themeColor="text1"/>
          <w:shd w:val="clear" w:color="auto" w:fill="FFFFFF"/>
        </w:rPr>
        <w:t>In summary, we support the repeal of begging as an offence. However, we strongly believe that clause</w:t>
      </w:r>
      <w:r>
        <w:rPr>
          <w:rFonts w:ascii="Cambria" w:hAnsi="Cambria"/>
          <w:color w:val="000000" w:themeColor="text1"/>
          <w:shd w:val="clear" w:color="auto" w:fill="FFFFFF"/>
        </w:rPr>
        <w:t>s</w:t>
      </w:r>
      <w:r w:rsidRPr="00164063">
        <w:rPr>
          <w:rFonts w:ascii="Cambria" w:hAnsi="Cambria"/>
          <w:color w:val="000000" w:themeColor="text1"/>
          <w:shd w:val="clear" w:color="auto" w:fill="FFFFFF"/>
        </w:rPr>
        <w:t xml:space="preserve"> 15B(1)(ca) and 15B(1A) a</w:t>
      </w:r>
      <w:r>
        <w:rPr>
          <w:rFonts w:ascii="Cambria" w:hAnsi="Cambria"/>
          <w:color w:val="000000" w:themeColor="text1"/>
          <w:shd w:val="clear" w:color="auto" w:fill="FFFFFF"/>
        </w:rPr>
        <w:t xml:space="preserve">re unnecessary duplication and should not be inserted into section 15B of the Act.  </w:t>
      </w:r>
      <w:r w:rsidRPr="00164063">
        <w:rPr>
          <w:rFonts w:ascii="Cambria" w:hAnsi="Cambria"/>
          <w:color w:val="000000" w:themeColor="text1"/>
          <w:shd w:val="clear" w:color="auto" w:fill="FFFFFF"/>
        </w:rPr>
        <w:t xml:space="preserve">   </w:t>
      </w:r>
    </w:p>
    <w:p w:rsidR="001077A5" w:rsidRPr="001077A5" w:rsidRDefault="001077A5" w:rsidP="001077A5">
      <w:pPr>
        <w:ind w:right="-205"/>
        <w:jc w:val="both"/>
        <w:rPr>
          <w:rFonts w:ascii="Cambria" w:hAnsi="Cambria"/>
          <w:color w:val="0D0D0D" w:themeColor="text1" w:themeTint="F2"/>
        </w:rPr>
      </w:pPr>
    </w:p>
    <w:p w:rsidR="001077A5" w:rsidRPr="001077A5" w:rsidRDefault="001077A5" w:rsidP="001077A5">
      <w:pPr>
        <w:ind w:right="-205"/>
        <w:rPr>
          <w:rFonts w:ascii="Cambria" w:hAnsi="Cambria"/>
        </w:rPr>
      </w:pPr>
      <w:r w:rsidRPr="001077A5">
        <w:rPr>
          <w:rFonts w:ascii="Cambria" w:hAnsi="Cambria"/>
        </w:rPr>
        <w:t>If you have any queries, please do not hesitate to contact us.</w:t>
      </w:r>
    </w:p>
    <w:p w:rsidR="001077A5" w:rsidRPr="001077A5" w:rsidRDefault="001077A5" w:rsidP="001077A5">
      <w:pPr>
        <w:rPr>
          <w:rFonts w:ascii="Cambria" w:hAnsi="Cambria"/>
        </w:rPr>
      </w:pPr>
    </w:p>
    <w:p w:rsidR="001077A5" w:rsidRPr="001077A5" w:rsidRDefault="001077A5" w:rsidP="001077A5">
      <w:pPr>
        <w:rPr>
          <w:rFonts w:ascii="Cambria" w:hAnsi="Cambria"/>
        </w:rPr>
      </w:pPr>
    </w:p>
    <w:p w:rsidR="001077A5" w:rsidRPr="001077A5" w:rsidRDefault="001077A5" w:rsidP="001077A5">
      <w:pPr>
        <w:rPr>
          <w:rFonts w:ascii="Cambria" w:hAnsi="Cambria"/>
        </w:rPr>
      </w:pPr>
      <w:r w:rsidRPr="001077A5">
        <w:rPr>
          <w:rFonts w:ascii="Cambria" w:hAnsi="Cambria"/>
        </w:rPr>
        <w:t>Yours faithfully,</w:t>
      </w:r>
    </w:p>
    <w:p w:rsidR="001077A5" w:rsidRPr="001077A5" w:rsidRDefault="001077A5" w:rsidP="001077A5">
      <w:pPr>
        <w:rPr>
          <w:rFonts w:ascii="Cambria" w:hAnsi="Cambria"/>
        </w:rPr>
      </w:pPr>
    </w:p>
    <w:p w:rsidR="001077A5" w:rsidRPr="001077A5" w:rsidRDefault="001077A5" w:rsidP="001077A5">
      <w:pPr>
        <w:rPr>
          <w:rFonts w:ascii="Cambria" w:hAnsi="Cambria"/>
        </w:rPr>
      </w:pPr>
    </w:p>
    <w:p w:rsidR="001077A5" w:rsidRPr="001077A5" w:rsidRDefault="001077A5" w:rsidP="001077A5">
      <w:pPr>
        <w:rPr>
          <w:rFonts w:ascii="Cambria" w:hAnsi="Cambria"/>
        </w:rPr>
      </w:pPr>
    </w:p>
    <w:p w:rsidR="001077A5" w:rsidRPr="001077A5" w:rsidRDefault="001077A5" w:rsidP="001077A5">
      <w:pPr>
        <w:rPr>
          <w:rFonts w:ascii="Cambria" w:hAnsi="Cambria"/>
        </w:rPr>
      </w:pPr>
      <w:r w:rsidRPr="001077A5">
        <w:rPr>
          <w:rFonts w:ascii="Cambria" w:hAnsi="Cambria"/>
        </w:rPr>
        <w:t xml:space="preserve">Benedict </w:t>
      </w:r>
      <w:proofErr w:type="spellStart"/>
      <w:r w:rsidRPr="001077A5">
        <w:rPr>
          <w:rFonts w:ascii="Cambria" w:hAnsi="Cambria"/>
        </w:rPr>
        <w:t>Bartl</w:t>
      </w:r>
      <w:proofErr w:type="spellEnd"/>
    </w:p>
    <w:p w:rsidR="001077A5" w:rsidRPr="001077A5" w:rsidRDefault="001077A5" w:rsidP="001077A5">
      <w:pPr>
        <w:rPr>
          <w:rFonts w:ascii="Cambria" w:hAnsi="Cambria"/>
        </w:rPr>
      </w:pPr>
      <w:r w:rsidRPr="001077A5">
        <w:rPr>
          <w:rFonts w:ascii="Cambria" w:hAnsi="Cambria"/>
        </w:rPr>
        <w:t>Policy Officer</w:t>
      </w:r>
    </w:p>
    <w:p w:rsidR="001077A5" w:rsidRPr="001077A5" w:rsidRDefault="001077A5" w:rsidP="001077A5">
      <w:pPr>
        <w:pBdr>
          <w:bottom w:val="single" w:sz="6" w:space="1" w:color="auto"/>
        </w:pBdr>
        <w:rPr>
          <w:rFonts w:ascii="Cambria" w:hAnsi="Cambria"/>
          <w:b/>
        </w:rPr>
      </w:pPr>
      <w:r w:rsidRPr="001077A5">
        <w:rPr>
          <w:rFonts w:ascii="Cambria" w:hAnsi="Cambria"/>
          <w:b/>
        </w:rPr>
        <w:t>Community Legal Centres Tasmania</w:t>
      </w:r>
    </w:p>
    <w:p w:rsidR="001077A5" w:rsidRPr="001077A5" w:rsidRDefault="001077A5" w:rsidP="001077A5">
      <w:pPr>
        <w:rPr>
          <w:rFonts w:ascii="Cambria" w:hAnsi="Cambria"/>
        </w:rPr>
      </w:pPr>
    </w:p>
    <w:p w:rsidR="001077A5" w:rsidRPr="001077A5" w:rsidRDefault="001077A5" w:rsidP="001077A5">
      <w:pPr>
        <w:rPr>
          <w:rFonts w:ascii="Cambria" w:hAnsi="Cambria"/>
        </w:rPr>
      </w:pPr>
      <w:r w:rsidRPr="001077A5">
        <w:rPr>
          <w:rFonts w:ascii="Cambria" w:hAnsi="Cambria"/>
        </w:rPr>
        <w:t>cc: All members of the Legislative Council</w:t>
      </w:r>
    </w:p>
    <w:p w:rsidR="001077A5" w:rsidRPr="00EB55F4" w:rsidRDefault="001077A5" w:rsidP="001077A5"/>
    <w:p w:rsidR="001077A5" w:rsidRPr="00EB55F4" w:rsidRDefault="001077A5" w:rsidP="001077A5">
      <w:pPr>
        <w:rPr>
          <w:rFonts w:cs="Arial"/>
          <w:color w:val="000000"/>
          <w:lang w:eastAsia="en-AU"/>
        </w:rPr>
      </w:pPr>
    </w:p>
    <w:p w:rsidR="00D8294B" w:rsidRDefault="00D8294B"/>
    <w:sectPr w:rsidR="00D8294B" w:rsidSect="00B22A63">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25A98" w:rsidRDefault="00A25A98" w:rsidP="001077A5">
      <w:r>
        <w:separator/>
      </w:r>
    </w:p>
  </w:endnote>
  <w:endnote w:type="continuationSeparator" w:id="0">
    <w:p w:rsidR="00A25A98" w:rsidRDefault="00A25A98" w:rsidP="0010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5346" w:rsidRDefault="00A25A98" w:rsidP="007423C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5346" w:rsidRDefault="00A25A98" w:rsidP="007A29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5346" w:rsidRDefault="00A25A98" w:rsidP="007423C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E5346" w:rsidRDefault="00A25A98" w:rsidP="007A29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25A98" w:rsidRDefault="00A25A98" w:rsidP="001077A5">
      <w:r>
        <w:separator/>
      </w:r>
    </w:p>
  </w:footnote>
  <w:footnote w:type="continuationSeparator" w:id="0">
    <w:p w:rsidR="00A25A98" w:rsidRDefault="00A25A98" w:rsidP="001077A5">
      <w:r>
        <w:continuationSeparator/>
      </w:r>
    </w:p>
  </w:footnote>
  <w:footnote w:id="1">
    <w:p w:rsidR="000C1E6D" w:rsidRPr="00164063" w:rsidRDefault="000C1E6D">
      <w:pPr>
        <w:pStyle w:val="FootnoteText"/>
        <w:rPr>
          <w:rFonts w:ascii="Cambria" w:hAnsi="Cambria"/>
          <w:color w:val="000000" w:themeColor="text1"/>
        </w:rPr>
      </w:pPr>
      <w:r w:rsidRPr="00164063">
        <w:rPr>
          <w:rStyle w:val="FootnoteReference"/>
          <w:rFonts w:ascii="Cambria" w:hAnsi="Cambria"/>
          <w:color w:val="000000" w:themeColor="text1"/>
        </w:rPr>
        <w:footnoteRef/>
      </w:r>
      <w:r w:rsidRPr="00164063">
        <w:rPr>
          <w:rFonts w:ascii="Cambria" w:hAnsi="Cambria"/>
          <w:color w:val="000000" w:themeColor="text1"/>
        </w:rPr>
        <w:t xml:space="preserve"> </w:t>
      </w:r>
      <w:r w:rsidRPr="000C1E6D">
        <w:rPr>
          <w:rFonts w:ascii="Cambria" w:hAnsi="Cambria"/>
          <w:i/>
          <w:iCs/>
          <w:color w:val="000000" w:themeColor="text1"/>
          <w:sz w:val="20"/>
          <w:szCs w:val="20"/>
          <w:shd w:val="clear" w:color="auto" w:fill="FFFFFF"/>
        </w:rPr>
        <w:t>Project Blue Sky Inc v Australian Broadcasting Authority</w:t>
      </w:r>
      <w:r w:rsidRPr="00164063">
        <w:rPr>
          <w:rFonts w:ascii="Cambria" w:hAnsi="Cambria"/>
          <w:color w:val="000000" w:themeColor="text1"/>
          <w:sz w:val="20"/>
          <w:szCs w:val="20"/>
          <w:shd w:val="clear" w:color="auto" w:fill="FFFFFF"/>
        </w:rPr>
        <w:t xml:space="preserve"> [1998] HCA 28; (1998) 194 CLR 355 at 381. See also </w:t>
      </w:r>
      <w:r w:rsidRPr="00164063">
        <w:rPr>
          <w:rFonts w:ascii="Cambria" w:hAnsi="Cambria"/>
          <w:i/>
          <w:iCs/>
          <w:color w:val="333333"/>
          <w:sz w:val="20"/>
          <w:szCs w:val="20"/>
        </w:rPr>
        <w:t>Certain Lloyd's Underwriters Subscribing to Contract No IH00AAQS v Cross</w:t>
      </w:r>
      <w:r w:rsidRPr="00164063">
        <w:rPr>
          <w:rFonts w:ascii="Cambria" w:hAnsi="Cambria"/>
          <w:color w:val="000000" w:themeColor="text1"/>
          <w:sz w:val="20"/>
          <w:szCs w:val="20"/>
          <w:shd w:val="clear" w:color="auto" w:fill="FFFFFF"/>
        </w:rPr>
        <w:t xml:space="preserve"> </w:t>
      </w:r>
      <w:r w:rsidRPr="00164063">
        <w:rPr>
          <w:rFonts w:ascii="Cambria" w:hAnsi="Cambria"/>
          <w:color w:val="000000" w:themeColor="text1"/>
          <w:sz w:val="20"/>
          <w:szCs w:val="20"/>
        </w:rPr>
        <w:t>[2012] HCA 56; 248 CLR 378 at para. [88].</w:t>
      </w:r>
    </w:p>
  </w:footnote>
  <w:footnote w:id="2">
    <w:p w:rsidR="00164063" w:rsidRDefault="00164063">
      <w:pPr>
        <w:pStyle w:val="FootnoteText"/>
      </w:pPr>
      <w:r w:rsidRPr="00164063">
        <w:rPr>
          <w:rStyle w:val="FootnoteReference"/>
          <w:rFonts w:ascii="Cambria" w:hAnsi="Cambria"/>
        </w:rPr>
        <w:footnoteRef/>
      </w:r>
      <w:r w:rsidRPr="00164063">
        <w:rPr>
          <w:rFonts w:ascii="Cambria" w:hAnsi="Cambria"/>
        </w:rPr>
        <w:t xml:space="preserve"> </w:t>
      </w:r>
      <w:r w:rsidRPr="00164063">
        <w:rPr>
          <w:rFonts w:ascii="Cambria" w:hAnsi="Cambria"/>
          <w:i/>
          <w:iCs/>
          <w:sz w:val="20"/>
          <w:szCs w:val="20"/>
        </w:rPr>
        <w:t>The Macquarie Dictionary</w:t>
      </w:r>
      <w:r w:rsidRPr="00164063">
        <w:rPr>
          <w:rFonts w:ascii="Cambria" w:hAnsi="Cambria"/>
          <w:sz w:val="20"/>
          <w:szCs w:val="20"/>
        </w:rPr>
        <w:t xml:space="preserve"> (Macquarie University, Third Edition: 2001) at 1323.</w:t>
      </w:r>
      <w:r>
        <w:t xml:space="preserve"> </w:t>
      </w:r>
    </w:p>
  </w:footnote>
  <w:footnote w:id="3">
    <w:p w:rsidR="00164063" w:rsidRDefault="00164063">
      <w:pPr>
        <w:pStyle w:val="FootnoteText"/>
      </w:pPr>
      <w:r>
        <w:rPr>
          <w:rStyle w:val="FootnoteReference"/>
        </w:rPr>
        <w:footnoteRef/>
      </w:r>
      <w:r>
        <w:t xml:space="preserve"> </w:t>
      </w:r>
      <w:r w:rsidRPr="00164063">
        <w:rPr>
          <w:rFonts w:ascii="Cambria" w:hAnsi="Cambria"/>
          <w:i/>
          <w:iCs/>
          <w:sz w:val="20"/>
          <w:szCs w:val="20"/>
        </w:rPr>
        <w:t>The Macquarie Dictionary</w:t>
      </w:r>
      <w:r w:rsidRPr="00164063">
        <w:rPr>
          <w:rFonts w:ascii="Cambria" w:hAnsi="Cambria"/>
          <w:sz w:val="20"/>
          <w:szCs w:val="20"/>
        </w:rPr>
        <w:t xml:space="preserve"> (Macquarie University, Third Edition: 2001) at </w:t>
      </w:r>
      <w:r>
        <w:rPr>
          <w:rFonts w:ascii="Cambria" w:hAnsi="Cambria"/>
          <w:sz w:val="20"/>
          <w:szCs w:val="20"/>
        </w:rPr>
        <w:t>235</w:t>
      </w:r>
      <w:r w:rsidRPr="00164063">
        <w:rPr>
          <w:rFonts w:ascii="Cambria" w:hAnsi="Cambria"/>
          <w:sz w:val="20"/>
          <w:szCs w:val="20"/>
        </w:rPr>
        <w:t>.</w:t>
      </w:r>
    </w:p>
  </w:footnote>
  <w:footnote w:id="4">
    <w:p w:rsidR="00164063" w:rsidRDefault="00164063" w:rsidP="00164063">
      <w:r>
        <w:rPr>
          <w:rStyle w:val="FootnoteReference"/>
        </w:rPr>
        <w:footnoteRef/>
      </w:r>
      <w:r>
        <w:t xml:space="preserve"> </w:t>
      </w:r>
      <w:r w:rsidRPr="00164063">
        <w:rPr>
          <w:rFonts w:ascii="Cambria" w:hAnsi="Cambria"/>
          <w:sz w:val="20"/>
          <w:szCs w:val="20"/>
        </w:rPr>
        <w:t xml:space="preserve">Tasmania Police Manual – as at 18 December 2018. As found at </w:t>
      </w:r>
      <w:hyperlink r:id="rId1" w:history="1">
        <w:r w:rsidRPr="00164063">
          <w:rPr>
            <w:rStyle w:val="Hyperlink"/>
            <w:rFonts w:ascii="Cambria" w:eastAsiaTheme="minorEastAsia" w:hAnsi="Cambria"/>
            <w:sz w:val="20"/>
            <w:szCs w:val="20"/>
          </w:rPr>
          <w:t>https://www.police.tas.gov.au/uploads/TPM-RTI-18-December-2018.pdf</w:t>
        </w:r>
      </w:hyperlink>
      <w:r w:rsidRPr="00164063">
        <w:rPr>
          <w:rFonts w:ascii="Cambria" w:hAnsi="Cambria"/>
          <w:sz w:val="20"/>
          <w:szCs w:val="20"/>
        </w:rPr>
        <w:t xml:space="preserve"> (Accessed 27 August 2020).</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3C6444"/>
    <w:multiLevelType w:val="multilevel"/>
    <w:tmpl w:val="881C1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DF5F71"/>
    <w:multiLevelType w:val="hybridMultilevel"/>
    <w:tmpl w:val="ED768CDC"/>
    <w:lvl w:ilvl="0" w:tplc="DA80218A">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15:restartNumberingAfterBreak="0">
    <w:nsid w:val="24EB0207"/>
    <w:multiLevelType w:val="hybridMultilevel"/>
    <w:tmpl w:val="E0EC82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F93E21"/>
    <w:multiLevelType w:val="multilevel"/>
    <w:tmpl w:val="881C1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C50CAB"/>
    <w:multiLevelType w:val="hybridMultilevel"/>
    <w:tmpl w:val="ED768CDC"/>
    <w:lvl w:ilvl="0" w:tplc="DA80218A">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3C6D64A6"/>
    <w:multiLevelType w:val="hybridMultilevel"/>
    <w:tmpl w:val="6966F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9A4066"/>
    <w:multiLevelType w:val="hybridMultilevel"/>
    <w:tmpl w:val="16D8D9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456AF5"/>
    <w:multiLevelType w:val="hybridMultilevel"/>
    <w:tmpl w:val="2D7EAE90"/>
    <w:lvl w:ilvl="0" w:tplc="E8D03776">
      <w:start w:val="26"/>
      <w:numFmt w:val="bullet"/>
      <w:lvlText w:val="-"/>
      <w:lvlJc w:val="left"/>
      <w:pPr>
        <w:ind w:left="720" w:hanging="360"/>
      </w:pPr>
      <w:rPr>
        <w:rFonts w:ascii="Cambria" w:eastAsiaTheme="minorEastAsia" w:hAnsi="Cambria" w:cstheme="minorBidi" w:hint="default"/>
        <w: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384EE6"/>
    <w:multiLevelType w:val="hybridMultilevel"/>
    <w:tmpl w:val="ED768CDC"/>
    <w:lvl w:ilvl="0" w:tplc="DA80218A">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7"/>
  </w:num>
  <w:num w:numId="2">
    <w:abstractNumId w:val="4"/>
  </w:num>
  <w:num w:numId="3">
    <w:abstractNumId w:val="3"/>
    <w:lvlOverride w:ilvl="0">
      <w:startOverride w:val="27"/>
    </w:lvlOverride>
  </w:num>
  <w:num w:numId="4">
    <w:abstractNumId w:val="0"/>
  </w:num>
  <w:num w:numId="5">
    <w:abstractNumId w:val="8"/>
  </w:num>
  <w:num w:numId="6">
    <w:abstractNumId w:val="1"/>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7A5"/>
    <w:rsid w:val="000C1E6D"/>
    <w:rsid w:val="001077A5"/>
    <w:rsid w:val="00164063"/>
    <w:rsid w:val="00A25A98"/>
    <w:rsid w:val="00BB6350"/>
    <w:rsid w:val="00D8294B"/>
    <w:rsid w:val="00FE7D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499DC4C"/>
  <w15:chartTrackingRefBased/>
  <w15:docId w15:val="{DB8459A9-9216-C24C-86EF-8DD242F5A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E6D"/>
    <w:rPr>
      <w:rFonts w:ascii="Times New Roman" w:eastAsia="Times New Roman" w:hAnsi="Times New Roman" w:cs="Times New Roman"/>
      <w:lang w:eastAsia="en-GB"/>
    </w:rPr>
  </w:style>
  <w:style w:type="paragraph" w:styleId="Heading1">
    <w:name w:val="heading 1"/>
    <w:basedOn w:val="Normal"/>
    <w:link w:val="Heading1Char"/>
    <w:uiPriority w:val="9"/>
    <w:qFormat/>
    <w:rsid w:val="001077A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16406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077A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
    <w:basedOn w:val="Normal"/>
    <w:link w:val="FootnoteTextChar"/>
    <w:uiPriority w:val="99"/>
    <w:unhideWhenUsed/>
    <w:qFormat/>
    <w:rsid w:val="001077A5"/>
  </w:style>
  <w:style w:type="character" w:customStyle="1" w:styleId="FootnoteTextChar">
    <w:name w:val="Footnote Text Char"/>
    <w:aliases w:val="Footnote Char,Text Char"/>
    <w:basedOn w:val="DefaultParagraphFont"/>
    <w:link w:val="FootnoteText"/>
    <w:uiPriority w:val="99"/>
    <w:rsid w:val="001077A5"/>
    <w:rPr>
      <w:rFonts w:eastAsiaTheme="minorEastAsia"/>
    </w:rPr>
  </w:style>
  <w:style w:type="character" w:styleId="FootnoteReference">
    <w:name w:val="footnote reference"/>
    <w:basedOn w:val="DefaultParagraphFont"/>
    <w:uiPriority w:val="99"/>
    <w:unhideWhenUsed/>
    <w:rsid w:val="001077A5"/>
    <w:rPr>
      <w:vertAlign w:val="superscript"/>
    </w:rPr>
  </w:style>
  <w:style w:type="paragraph" w:styleId="NoSpacing">
    <w:name w:val="No Spacing"/>
    <w:uiPriority w:val="1"/>
    <w:qFormat/>
    <w:rsid w:val="001077A5"/>
    <w:rPr>
      <w:rFonts w:eastAsiaTheme="minorEastAsia" w:cs="Times New Roman"/>
      <w:sz w:val="20"/>
      <w:szCs w:val="20"/>
      <w:lang w:val="en-US"/>
    </w:rPr>
  </w:style>
  <w:style w:type="paragraph" w:styleId="ListParagraph">
    <w:name w:val="List Paragraph"/>
    <w:aliases w:val="EOT List Paragraph"/>
    <w:basedOn w:val="Normal"/>
    <w:link w:val="ListParagraphChar"/>
    <w:uiPriority w:val="1"/>
    <w:qFormat/>
    <w:rsid w:val="001077A5"/>
    <w:pPr>
      <w:ind w:left="720"/>
      <w:contextualSpacing/>
    </w:pPr>
  </w:style>
  <w:style w:type="character" w:customStyle="1" w:styleId="ListParagraphChar">
    <w:name w:val="List Paragraph Char"/>
    <w:aliases w:val="EOT List Paragraph Char"/>
    <w:link w:val="ListParagraph"/>
    <w:uiPriority w:val="1"/>
    <w:rsid w:val="001077A5"/>
    <w:rPr>
      <w:rFonts w:eastAsiaTheme="minorEastAsia"/>
    </w:rPr>
  </w:style>
  <w:style w:type="character" w:styleId="Hyperlink">
    <w:name w:val="Hyperlink"/>
    <w:uiPriority w:val="99"/>
    <w:rsid w:val="001077A5"/>
    <w:rPr>
      <w:color w:val="0000FF"/>
      <w:u w:val="single"/>
    </w:rPr>
  </w:style>
  <w:style w:type="paragraph" w:styleId="Footer">
    <w:name w:val="footer"/>
    <w:basedOn w:val="Normal"/>
    <w:link w:val="FooterChar"/>
    <w:uiPriority w:val="99"/>
    <w:unhideWhenUsed/>
    <w:rsid w:val="001077A5"/>
    <w:pPr>
      <w:tabs>
        <w:tab w:val="center" w:pos="4513"/>
        <w:tab w:val="right" w:pos="9026"/>
      </w:tabs>
    </w:pPr>
  </w:style>
  <w:style w:type="character" w:customStyle="1" w:styleId="FooterChar">
    <w:name w:val="Footer Char"/>
    <w:basedOn w:val="DefaultParagraphFont"/>
    <w:link w:val="Footer"/>
    <w:uiPriority w:val="99"/>
    <w:rsid w:val="001077A5"/>
    <w:rPr>
      <w:rFonts w:eastAsiaTheme="minorEastAsia"/>
    </w:rPr>
  </w:style>
  <w:style w:type="character" w:styleId="PageNumber">
    <w:name w:val="page number"/>
    <w:basedOn w:val="DefaultParagraphFont"/>
    <w:uiPriority w:val="99"/>
    <w:semiHidden/>
    <w:unhideWhenUsed/>
    <w:rsid w:val="001077A5"/>
  </w:style>
  <w:style w:type="character" w:customStyle="1" w:styleId="Heading1Char">
    <w:name w:val="Heading 1 Char"/>
    <w:basedOn w:val="DefaultParagraphFont"/>
    <w:link w:val="Heading1"/>
    <w:uiPriority w:val="9"/>
    <w:rsid w:val="001077A5"/>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1077A5"/>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C1E6D"/>
    <w:pPr>
      <w:spacing w:before="100" w:beforeAutospacing="1" w:after="100" w:afterAutospacing="1"/>
    </w:pPr>
  </w:style>
  <w:style w:type="character" w:styleId="FollowedHyperlink">
    <w:name w:val="FollowedHyperlink"/>
    <w:basedOn w:val="DefaultParagraphFont"/>
    <w:uiPriority w:val="99"/>
    <w:semiHidden/>
    <w:unhideWhenUsed/>
    <w:rsid w:val="000C1E6D"/>
    <w:rPr>
      <w:color w:val="954F72" w:themeColor="followedHyperlink"/>
      <w:u w:val="single"/>
    </w:rPr>
  </w:style>
  <w:style w:type="character" w:styleId="Emphasis">
    <w:name w:val="Emphasis"/>
    <w:basedOn w:val="DefaultParagraphFont"/>
    <w:uiPriority w:val="20"/>
    <w:qFormat/>
    <w:rsid w:val="00164063"/>
    <w:rPr>
      <w:i/>
      <w:iCs/>
    </w:rPr>
  </w:style>
  <w:style w:type="character" w:customStyle="1" w:styleId="Heading2Char">
    <w:name w:val="Heading 2 Char"/>
    <w:basedOn w:val="DefaultParagraphFont"/>
    <w:link w:val="Heading2"/>
    <w:uiPriority w:val="9"/>
    <w:rsid w:val="00164063"/>
    <w:rPr>
      <w:rFonts w:asciiTheme="majorHAnsi" w:eastAsiaTheme="majorEastAsia" w:hAnsiTheme="majorHAnsi" w:cstheme="majorBidi"/>
      <w:color w:val="2F5496" w:themeColor="accent1" w:themeShade="BF"/>
      <w:sz w:val="26"/>
      <w:szCs w:val="26"/>
      <w:lang w:eastAsia="en-GB"/>
    </w:rPr>
  </w:style>
  <w:style w:type="character" w:styleId="UnresolvedMention">
    <w:name w:val="Unresolved Mention"/>
    <w:basedOn w:val="DefaultParagraphFont"/>
    <w:uiPriority w:val="99"/>
    <w:semiHidden/>
    <w:unhideWhenUsed/>
    <w:rsid w:val="00164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65454">
      <w:bodyDiv w:val="1"/>
      <w:marLeft w:val="0"/>
      <w:marRight w:val="0"/>
      <w:marTop w:val="0"/>
      <w:marBottom w:val="0"/>
      <w:divBdr>
        <w:top w:val="none" w:sz="0" w:space="0" w:color="auto"/>
        <w:left w:val="none" w:sz="0" w:space="0" w:color="auto"/>
        <w:bottom w:val="none" w:sz="0" w:space="0" w:color="auto"/>
        <w:right w:val="none" w:sz="0" w:space="0" w:color="auto"/>
      </w:divBdr>
    </w:div>
    <w:div w:id="328487573">
      <w:bodyDiv w:val="1"/>
      <w:marLeft w:val="0"/>
      <w:marRight w:val="0"/>
      <w:marTop w:val="0"/>
      <w:marBottom w:val="0"/>
      <w:divBdr>
        <w:top w:val="none" w:sz="0" w:space="0" w:color="auto"/>
        <w:left w:val="none" w:sz="0" w:space="0" w:color="auto"/>
        <w:bottom w:val="none" w:sz="0" w:space="0" w:color="auto"/>
        <w:right w:val="none" w:sz="0" w:space="0" w:color="auto"/>
      </w:divBdr>
    </w:div>
    <w:div w:id="568466380">
      <w:bodyDiv w:val="1"/>
      <w:marLeft w:val="0"/>
      <w:marRight w:val="0"/>
      <w:marTop w:val="0"/>
      <w:marBottom w:val="0"/>
      <w:divBdr>
        <w:top w:val="none" w:sz="0" w:space="0" w:color="auto"/>
        <w:left w:val="none" w:sz="0" w:space="0" w:color="auto"/>
        <w:bottom w:val="none" w:sz="0" w:space="0" w:color="auto"/>
        <w:right w:val="none" w:sz="0" w:space="0" w:color="auto"/>
      </w:divBdr>
    </w:div>
    <w:div w:id="600113166">
      <w:bodyDiv w:val="1"/>
      <w:marLeft w:val="0"/>
      <w:marRight w:val="0"/>
      <w:marTop w:val="0"/>
      <w:marBottom w:val="0"/>
      <w:divBdr>
        <w:top w:val="none" w:sz="0" w:space="0" w:color="auto"/>
        <w:left w:val="none" w:sz="0" w:space="0" w:color="auto"/>
        <w:bottom w:val="none" w:sz="0" w:space="0" w:color="auto"/>
        <w:right w:val="none" w:sz="0" w:space="0" w:color="auto"/>
      </w:divBdr>
    </w:div>
    <w:div w:id="925504709">
      <w:bodyDiv w:val="1"/>
      <w:marLeft w:val="0"/>
      <w:marRight w:val="0"/>
      <w:marTop w:val="0"/>
      <w:marBottom w:val="0"/>
      <w:divBdr>
        <w:top w:val="none" w:sz="0" w:space="0" w:color="auto"/>
        <w:left w:val="none" w:sz="0" w:space="0" w:color="auto"/>
        <w:bottom w:val="none" w:sz="0" w:space="0" w:color="auto"/>
        <w:right w:val="none" w:sz="0" w:space="0" w:color="auto"/>
      </w:divBdr>
    </w:div>
    <w:div w:id="926111859">
      <w:bodyDiv w:val="1"/>
      <w:marLeft w:val="0"/>
      <w:marRight w:val="0"/>
      <w:marTop w:val="0"/>
      <w:marBottom w:val="0"/>
      <w:divBdr>
        <w:top w:val="none" w:sz="0" w:space="0" w:color="auto"/>
        <w:left w:val="none" w:sz="0" w:space="0" w:color="auto"/>
        <w:bottom w:val="none" w:sz="0" w:space="0" w:color="auto"/>
        <w:right w:val="none" w:sz="0" w:space="0" w:color="auto"/>
      </w:divBdr>
    </w:div>
    <w:div w:id="1183743157">
      <w:bodyDiv w:val="1"/>
      <w:marLeft w:val="0"/>
      <w:marRight w:val="0"/>
      <w:marTop w:val="0"/>
      <w:marBottom w:val="0"/>
      <w:divBdr>
        <w:top w:val="none" w:sz="0" w:space="0" w:color="auto"/>
        <w:left w:val="none" w:sz="0" w:space="0" w:color="auto"/>
        <w:bottom w:val="none" w:sz="0" w:space="0" w:color="auto"/>
        <w:right w:val="none" w:sz="0" w:space="0" w:color="auto"/>
      </w:divBdr>
    </w:div>
    <w:div w:id="1315985976">
      <w:bodyDiv w:val="1"/>
      <w:marLeft w:val="0"/>
      <w:marRight w:val="0"/>
      <w:marTop w:val="0"/>
      <w:marBottom w:val="0"/>
      <w:divBdr>
        <w:top w:val="none" w:sz="0" w:space="0" w:color="auto"/>
        <w:left w:val="none" w:sz="0" w:space="0" w:color="auto"/>
        <w:bottom w:val="none" w:sz="0" w:space="0" w:color="auto"/>
        <w:right w:val="none" w:sz="0" w:space="0" w:color="auto"/>
      </w:divBdr>
    </w:div>
    <w:div w:id="1518344092">
      <w:bodyDiv w:val="1"/>
      <w:marLeft w:val="0"/>
      <w:marRight w:val="0"/>
      <w:marTop w:val="0"/>
      <w:marBottom w:val="0"/>
      <w:divBdr>
        <w:top w:val="none" w:sz="0" w:space="0" w:color="auto"/>
        <w:left w:val="none" w:sz="0" w:space="0" w:color="auto"/>
        <w:bottom w:val="none" w:sz="0" w:space="0" w:color="auto"/>
        <w:right w:val="none" w:sz="0" w:space="0" w:color="auto"/>
      </w:divBdr>
    </w:div>
    <w:div w:id="1624537791">
      <w:bodyDiv w:val="1"/>
      <w:marLeft w:val="0"/>
      <w:marRight w:val="0"/>
      <w:marTop w:val="0"/>
      <w:marBottom w:val="0"/>
      <w:divBdr>
        <w:top w:val="none" w:sz="0" w:space="0" w:color="auto"/>
        <w:left w:val="none" w:sz="0" w:space="0" w:color="auto"/>
        <w:bottom w:val="none" w:sz="0" w:space="0" w:color="auto"/>
        <w:right w:val="none" w:sz="0" w:space="0" w:color="auto"/>
      </w:divBdr>
      <w:divsChild>
        <w:div w:id="1223953591">
          <w:marLeft w:val="0"/>
          <w:marRight w:val="0"/>
          <w:marTop w:val="0"/>
          <w:marBottom w:val="0"/>
          <w:divBdr>
            <w:top w:val="none" w:sz="0" w:space="0" w:color="auto"/>
            <w:left w:val="none" w:sz="0" w:space="0" w:color="auto"/>
            <w:bottom w:val="none" w:sz="0" w:space="0" w:color="auto"/>
            <w:right w:val="none" w:sz="0" w:space="0" w:color="auto"/>
          </w:divBdr>
          <w:divsChild>
            <w:div w:id="61801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188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593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4240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308246">
                          <w:blockQuote w:val="1"/>
                          <w:marLeft w:val="720"/>
                          <w:marRight w:val="720"/>
                          <w:marTop w:val="100"/>
                          <w:marBottom w:val="100"/>
                          <w:divBdr>
                            <w:top w:val="none" w:sz="0" w:space="0" w:color="auto"/>
                            <w:left w:val="none" w:sz="0" w:space="0" w:color="auto"/>
                            <w:bottom w:val="none" w:sz="0" w:space="0" w:color="auto"/>
                            <w:right w:val="none" w:sz="0" w:space="0" w:color="auto"/>
                          </w:divBdr>
                        </w:div>
                        <w:div w:id="528689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5901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844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32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aig.farrell@parliament.tas.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police.tas.gov.au/uploads/TPM-RTI-18-December-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4</Pages>
  <Words>1077</Words>
  <Characters>6143</Characters>
  <Application>Microsoft Office Word</Application>
  <DocSecurity>0</DocSecurity>
  <Lines>51</Lines>
  <Paragraphs>14</Paragraphs>
  <ScaleCrop>false</ScaleCrop>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2020-08-27T02:56:00Z</cp:lastPrinted>
  <dcterms:created xsi:type="dcterms:W3CDTF">2020-08-26T23:29:00Z</dcterms:created>
  <dcterms:modified xsi:type="dcterms:W3CDTF">2020-08-27T03:00:00Z</dcterms:modified>
</cp:coreProperties>
</file>