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299CC" w14:textId="77777777" w:rsidR="005C7524" w:rsidRPr="00187347" w:rsidRDefault="005C7524" w:rsidP="005C7524">
      <w:pPr>
        <w:jc w:val="center"/>
        <w:rPr>
          <w:lang w:val="en-AU"/>
        </w:rPr>
      </w:pPr>
      <w:r w:rsidRPr="00187347">
        <w:rPr>
          <w:rFonts w:asciiTheme="minorHAnsi" w:hAnsiTheme="minorHAnsi"/>
          <w:noProof/>
          <w:sz w:val="20"/>
          <w:szCs w:val="20"/>
          <w:lang w:val="en-AU"/>
        </w:rPr>
        <w:drawing>
          <wp:inline distT="0" distB="0" distL="0" distR="0" wp14:anchorId="3DAC87F5" wp14:editId="1EE885B4">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0A2301A0" w14:textId="77777777" w:rsidR="005C7524" w:rsidRPr="00251BF9" w:rsidRDefault="005C7524" w:rsidP="005C7524">
      <w:pPr>
        <w:rPr>
          <w:rFonts w:ascii="Cambria" w:hAnsi="Cambria"/>
          <w:lang w:val="en-AU"/>
        </w:rPr>
      </w:pPr>
    </w:p>
    <w:p w14:paraId="7C021AC8" w14:textId="764A8819" w:rsidR="005C7524" w:rsidRPr="0025038D" w:rsidRDefault="005C7524" w:rsidP="005C7524">
      <w:pPr>
        <w:rPr>
          <w:rFonts w:ascii="Cambria" w:hAnsi="Cambria"/>
          <w:color w:val="000000" w:themeColor="text1"/>
          <w:lang w:val="en-AU"/>
        </w:rPr>
      </w:pPr>
      <w:r w:rsidRPr="0025038D">
        <w:rPr>
          <w:rFonts w:ascii="Cambria" w:hAnsi="Cambria"/>
          <w:color w:val="000000" w:themeColor="text1"/>
          <w:lang w:val="en-AU"/>
        </w:rPr>
        <w:t>18 February 2022</w:t>
      </w:r>
    </w:p>
    <w:p w14:paraId="77CA6BAE" w14:textId="77777777" w:rsidR="005C7524" w:rsidRPr="0025038D" w:rsidRDefault="005C7524" w:rsidP="005C7524">
      <w:pPr>
        <w:rPr>
          <w:rFonts w:ascii="Cambria" w:hAnsi="Cambria"/>
          <w:lang w:val="en-AU"/>
        </w:rPr>
      </w:pPr>
    </w:p>
    <w:p w14:paraId="2B91EA53" w14:textId="77777777" w:rsidR="005C7524" w:rsidRPr="0025038D" w:rsidRDefault="005C7524" w:rsidP="005C7524">
      <w:pPr>
        <w:rPr>
          <w:rFonts w:ascii="Cambria" w:hAnsi="Cambria"/>
          <w:lang w:val="en-AU"/>
        </w:rPr>
      </w:pPr>
      <w:r w:rsidRPr="0025038D">
        <w:rPr>
          <w:rFonts w:ascii="Cambria" w:hAnsi="Cambria"/>
          <w:lang w:val="en-AU"/>
        </w:rPr>
        <w:t>Department of Justice</w:t>
      </w:r>
    </w:p>
    <w:p w14:paraId="17D72C39" w14:textId="77777777" w:rsidR="005C7524" w:rsidRPr="0025038D" w:rsidRDefault="005C7524" w:rsidP="005C7524">
      <w:pPr>
        <w:rPr>
          <w:rFonts w:ascii="Cambria" w:hAnsi="Cambria"/>
          <w:lang w:val="en-AU"/>
        </w:rPr>
      </w:pPr>
      <w:r w:rsidRPr="0025038D">
        <w:rPr>
          <w:rFonts w:ascii="Cambria" w:hAnsi="Cambria"/>
          <w:lang w:val="en-AU"/>
        </w:rPr>
        <w:t>Office of the Secretary</w:t>
      </w:r>
    </w:p>
    <w:p w14:paraId="34C857C8" w14:textId="77777777" w:rsidR="005C7524" w:rsidRPr="0025038D" w:rsidRDefault="005C7524" w:rsidP="005C7524">
      <w:pPr>
        <w:rPr>
          <w:rFonts w:ascii="Cambria" w:hAnsi="Cambria"/>
          <w:lang w:val="en-AU"/>
        </w:rPr>
      </w:pPr>
      <w:r w:rsidRPr="0025038D">
        <w:rPr>
          <w:rFonts w:ascii="Cambria" w:hAnsi="Cambria"/>
          <w:lang w:val="en-AU"/>
        </w:rPr>
        <w:t>GPO Box 825</w:t>
      </w:r>
    </w:p>
    <w:p w14:paraId="04DC5BAB" w14:textId="77777777" w:rsidR="005C7524" w:rsidRPr="0025038D" w:rsidRDefault="005C7524" w:rsidP="005C7524">
      <w:pPr>
        <w:rPr>
          <w:rFonts w:ascii="Cambria" w:hAnsi="Cambria"/>
          <w:lang w:val="en-AU"/>
        </w:rPr>
      </w:pPr>
      <w:r w:rsidRPr="0025038D">
        <w:rPr>
          <w:rFonts w:ascii="Cambria" w:hAnsi="Cambria"/>
          <w:lang w:val="en-AU"/>
        </w:rPr>
        <w:t>Hobart TAS 7001</w:t>
      </w:r>
    </w:p>
    <w:p w14:paraId="14B55197" w14:textId="77777777" w:rsidR="005C7524" w:rsidRPr="0025038D" w:rsidRDefault="005C7524" w:rsidP="005C7524">
      <w:pPr>
        <w:rPr>
          <w:rFonts w:ascii="Cambria" w:hAnsi="Cambria"/>
          <w:lang w:val="en-AU"/>
        </w:rPr>
      </w:pPr>
      <w:proofErr w:type="spellStart"/>
      <w:r w:rsidRPr="0025038D">
        <w:rPr>
          <w:rFonts w:ascii="Cambria" w:hAnsi="Cambria"/>
          <w:lang w:val="en-AU"/>
        </w:rPr>
        <w:t>attn:</w:t>
      </w:r>
      <w:proofErr w:type="spellEnd"/>
      <w:r w:rsidRPr="0025038D">
        <w:rPr>
          <w:rFonts w:ascii="Cambria" w:hAnsi="Cambria"/>
          <w:lang w:val="en-AU"/>
        </w:rPr>
        <w:t xml:space="preserve"> Brooke Craven </w:t>
      </w:r>
      <w:r w:rsidRPr="0025038D">
        <w:rPr>
          <w:rFonts w:ascii="Cambria" w:hAnsi="Cambria"/>
          <w:lang w:val="en-AU"/>
        </w:rPr>
        <w:tab/>
      </w:r>
      <w:r w:rsidRPr="0025038D">
        <w:rPr>
          <w:rFonts w:ascii="Cambria" w:hAnsi="Cambria"/>
          <w:lang w:val="en-AU"/>
        </w:rPr>
        <w:tab/>
      </w:r>
    </w:p>
    <w:p w14:paraId="0B07D69D" w14:textId="77777777" w:rsidR="005C7524" w:rsidRPr="0025038D" w:rsidRDefault="005C7524" w:rsidP="005C7524">
      <w:pPr>
        <w:ind w:left="2880" w:firstLine="720"/>
        <w:rPr>
          <w:rFonts w:ascii="Cambria" w:hAnsi="Cambria"/>
          <w:lang w:val="en-AU"/>
        </w:rPr>
      </w:pPr>
      <w:r w:rsidRPr="0025038D">
        <w:rPr>
          <w:rFonts w:ascii="Cambria" w:hAnsi="Cambria"/>
          <w:b/>
          <w:bCs/>
          <w:i/>
          <w:iCs/>
          <w:lang w:val="en-AU"/>
        </w:rPr>
        <w:t>via email:</w:t>
      </w:r>
      <w:r w:rsidRPr="0025038D">
        <w:rPr>
          <w:rFonts w:ascii="Cambria" w:hAnsi="Cambria"/>
          <w:i/>
          <w:iCs/>
          <w:lang w:val="en-AU"/>
        </w:rPr>
        <w:t xml:space="preserve"> </w:t>
      </w:r>
      <w:hyperlink r:id="rId8" w:history="1">
        <w:r w:rsidRPr="0025038D">
          <w:rPr>
            <w:rStyle w:val="Hyperlink"/>
            <w:rFonts w:ascii="Cambria" w:hAnsi="Cambria"/>
            <w:i/>
            <w:iCs/>
            <w:lang w:val="en-AU"/>
          </w:rPr>
          <w:t>haveyoursay@justice.tas.gov.au</w:t>
        </w:r>
      </w:hyperlink>
      <w:r w:rsidRPr="0025038D">
        <w:rPr>
          <w:rFonts w:ascii="Cambria" w:hAnsi="Cambria"/>
          <w:i/>
          <w:iCs/>
          <w:lang w:val="en-AU"/>
        </w:rPr>
        <w:t xml:space="preserve"> </w:t>
      </w:r>
      <w:r w:rsidRPr="0025038D">
        <w:rPr>
          <w:rFonts w:ascii="Cambria" w:hAnsi="Cambria"/>
          <w:lang w:val="en-AU"/>
        </w:rPr>
        <w:t xml:space="preserve"> </w:t>
      </w:r>
    </w:p>
    <w:p w14:paraId="46C106D2" w14:textId="77777777" w:rsidR="005C7524" w:rsidRPr="0025038D" w:rsidRDefault="005C7524" w:rsidP="005C7524">
      <w:pPr>
        <w:rPr>
          <w:rFonts w:ascii="Cambria" w:hAnsi="Cambria"/>
          <w:lang w:val="en-AU"/>
        </w:rPr>
      </w:pPr>
    </w:p>
    <w:p w14:paraId="762F928F" w14:textId="77777777" w:rsidR="005C7524" w:rsidRPr="0025038D" w:rsidRDefault="005C7524" w:rsidP="005C7524">
      <w:pPr>
        <w:rPr>
          <w:rFonts w:ascii="Cambria" w:hAnsi="Cambria"/>
          <w:lang w:val="en-AU"/>
        </w:rPr>
      </w:pPr>
      <w:r w:rsidRPr="0025038D">
        <w:rPr>
          <w:rFonts w:ascii="Cambria" w:hAnsi="Cambria"/>
          <w:lang w:val="en-AU"/>
        </w:rPr>
        <w:t xml:space="preserve">Dear Brooke, </w:t>
      </w:r>
    </w:p>
    <w:p w14:paraId="1A1663D9" w14:textId="24A52B8E" w:rsidR="005C7524" w:rsidRPr="0025038D" w:rsidRDefault="005C7524" w:rsidP="005C7524">
      <w:pPr>
        <w:pBdr>
          <w:bottom w:val="single" w:sz="6" w:space="1" w:color="auto"/>
        </w:pBdr>
        <w:rPr>
          <w:rFonts w:ascii="Cambria" w:hAnsi="Cambria"/>
          <w:b/>
          <w:bCs/>
          <w:lang w:val="en-AU"/>
        </w:rPr>
      </w:pPr>
      <w:r w:rsidRPr="0025038D">
        <w:rPr>
          <w:rFonts w:ascii="Cambria" w:hAnsi="Cambria"/>
          <w:b/>
          <w:bCs/>
          <w:lang w:val="en-AU"/>
        </w:rPr>
        <w:t xml:space="preserve">Re: </w:t>
      </w:r>
      <w:r w:rsidRPr="0025038D">
        <w:rPr>
          <w:rFonts w:ascii="Cambria" w:hAnsi="Cambria"/>
          <w:b/>
          <w:bCs/>
          <w:i/>
          <w:iCs/>
          <w:lang w:val="en-AU"/>
        </w:rPr>
        <w:t>Criminal Code Amendment Bill 2022</w:t>
      </w:r>
    </w:p>
    <w:p w14:paraId="680144E3" w14:textId="77777777" w:rsidR="005C7524" w:rsidRPr="0025038D" w:rsidRDefault="005C7524" w:rsidP="005C7524">
      <w:pPr>
        <w:rPr>
          <w:rFonts w:ascii="Cambria" w:hAnsi="Cambria"/>
          <w:lang w:val="en-AU"/>
        </w:rPr>
      </w:pPr>
    </w:p>
    <w:p w14:paraId="13BC9621" w14:textId="4CE1BB7B" w:rsidR="005C7524" w:rsidRPr="0025038D" w:rsidRDefault="005C7524" w:rsidP="005C7524">
      <w:pPr>
        <w:pStyle w:val="NoSpacing"/>
        <w:shd w:val="clear" w:color="auto" w:fill="FFFFFF"/>
        <w:jc w:val="both"/>
        <w:rPr>
          <w:rFonts w:ascii="Cambria" w:hAnsi="Cambria"/>
          <w:color w:val="000000" w:themeColor="text1"/>
          <w:bdr w:val="none" w:sz="0" w:space="0" w:color="auto" w:frame="1"/>
        </w:rPr>
      </w:pPr>
      <w:r w:rsidRPr="0025038D">
        <w:rPr>
          <w:rFonts w:ascii="Cambria" w:hAnsi="Cambria"/>
          <w:color w:val="000000" w:themeColor="text1"/>
          <w:bdr w:val="none" w:sz="0" w:space="0" w:color="auto" w:frame="1"/>
        </w:rPr>
        <w:t>Community Legal Centres Tasmania (CLC Tas) welcomes the opportunity to respond to the </w:t>
      </w:r>
      <w:r w:rsidRPr="0025038D">
        <w:rPr>
          <w:rFonts w:ascii="Cambria" w:hAnsi="Cambria"/>
          <w:i/>
          <w:iCs/>
          <w:color w:val="000000" w:themeColor="text1"/>
          <w:bdr w:val="none" w:sz="0" w:space="0" w:color="auto" w:frame="1"/>
        </w:rPr>
        <w:t>Criminal Code Amendment Bill 2022</w:t>
      </w:r>
      <w:r w:rsidR="008B1600" w:rsidRPr="0025038D">
        <w:rPr>
          <w:rFonts w:ascii="Cambria" w:hAnsi="Cambria"/>
          <w:i/>
          <w:iCs/>
          <w:color w:val="000000" w:themeColor="text1"/>
          <w:bdr w:val="none" w:sz="0" w:space="0" w:color="auto" w:frame="1"/>
        </w:rPr>
        <w:t xml:space="preserve"> </w:t>
      </w:r>
      <w:r w:rsidR="008B1600" w:rsidRPr="0025038D">
        <w:rPr>
          <w:rFonts w:ascii="Cambria" w:hAnsi="Cambria"/>
          <w:color w:val="000000" w:themeColor="text1"/>
          <w:bdr w:val="none" w:sz="0" w:space="0" w:color="auto" w:frame="1"/>
        </w:rPr>
        <w:t>(‘the Bill’)</w:t>
      </w:r>
      <w:r w:rsidRPr="0025038D">
        <w:rPr>
          <w:rFonts w:ascii="Cambria" w:hAnsi="Cambria"/>
          <w:color w:val="000000" w:themeColor="text1"/>
          <w:bdr w:val="none" w:sz="0" w:space="0" w:color="auto" w:frame="1"/>
        </w:rPr>
        <w:t>.</w:t>
      </w:r>
      <w:r w:rsidRPr="0025038D">
        <w:rPr>
          <w:rStyle w:val="FootnoteReference"/>
          <w:rFonts w:ascii="Cambria" w:hAnsi="Cambria"/>
          <w:color w:val="000000" w:themeColor="text1"/>
        </w:rPr>
        <w:footnoteReference w:id="1"/>
      </w:r>
      <w:r w:rsidRPr="0025038D">
        <w:rPr>
          <w:rFonts w:ascii="Cambria" w:hAnsi="Cambria"/>
          <w:color w:val="000000" w:themeColor="text1"/>
          <w:bdr w:val="none" w:sz="0" w:space="0" w:color="auto" w:frame="1"/>
        </w:rPr>
        <w:t xml:space="preserve"> We support the Government’s intent to introduce </w:t>
      </w:r>
      <w:r w:rsidR="008B1600" w:rsidRPr="0025038D">
        <w:rPr>
          <w:rFonts w:ascii="Cambria" w:hAnsi="Cambria"/>
          <w:color w:val="000000" w:themeColor="text1"/>
          <w:bdr w:val="none" w:sz="0" w:space="0" w:color="auto" w:frame="1"/>
        </w:rPr>
        <w:t xml:space="preserve">a new standalone criminal offence </w:t>
      </w:r>
      <w:r w:rsidRPr="0025038D">
        <w:rPr>
          <w:rFonts w:ascii="Cambria" w:hAnsi="Cambria"/>
          <w:color w:val="000000" w:themeColor="text1"/>
          <w:bdr w:val="none" w:sz="0" w:space="0" w:color="auto" w:frame="1"/>
        </w:rPr>
        <w:t xml:space="preserve">of strangulation and </w:t>
      </w:r>
      <w:r w:rsidR="008B1600" w:rsidRPr="0025038D">
        <w:rPr>
          <w:rFonts w:ascii="Cambria" w:hAnsi="Cambria"/>
          <w:color w:val="000000" w:themeColor="text1"/>
          <w:bdr w:val="none" w:sz="0" w:space="0" w:color="auto" w:frame="1"/>
        </w:rPr>
        <w:t xml:space="preserve">to amend the definition of ‘consent’ in relation to </w:t>
      </w:r>
      <w:r w:rsidRPr="0025038D">
        <w:rPr>
          <w:rFonts w:ascii="Cambria" w:hAnsi="Cambria"/>
          <w:color w:val="000000" w:themeColor="text1"/>
          <w:bdr w:val="none" w:sz="0" w:space="0" w:color="auto" w:frame="1"/>
        </w:rPr>
        <w:t xml:space="preserve">stealthing. </w:t>
      </w:r>
    </w:p>
    <w:p w14:paraId="44D8256A" w14:textId="77777777" w:rsidR="005C7524" w:rsidRPr="0025038D" w:rsidRDefault="005C7524" w:rsidP="005C7524">
      <w:pPr>
        <w:pStyle w:val="NoSpacing"/>
        <w:shd w:val="clear" w:color="auto" w:fill="FFFFFF"/>
        <w:jc w:val="both"/>
        <w:rPr>
          <w:rFonts w:ascii="Cambria" w:hAnsi="Cambria"/>
          <w:color w:val="000000" w:themeColor="text1"/>
          <w:bdr w:val="none" w:sz="0" w:space="0" w:color="auto" w:frame="1"/>
        </w:rPr>
      </w:pPr>
    </w:p>
    <w:p w14:paraId="33201A8A" w14:textId="77777777" w:rsidR="005C7524" w:rsidRPr="0025038D" w:rsidRDefault="005C7524" w:rsidP="005C7524">
      <w:pPr>
        <w:pStyle w:val="NoSpacing"/>
        <w:shd w:val="clear" w:color="auto" w:fill="FFFFFF"/>
        <w:jc w:val="both"/>
        <w:rPr>
          <w:rFonts w:ascii="Cambria" w:hAnsi="Cambria" w:cs="Arial"/>
          <w:color w:val="000000"/>
        </w:rPr>
      </w:pPr>
      <w:r w:rsidRPr="0025038D">
        <w:rPr>
          <w:rFonts w:ascii="Cambria" w:hAnsi="Cambria" w:cs="Arial"/>
          <w:lang w:eastAsia="en-AU"/>
        </w:rPr>
        <w:t xml:space="preserve">CLC Tas </w:t>
      </w:r>
      <w:r w:rsidRPr="0025038D">
        <w:rPr>
          <w:rFonts w:ascii="Cambria" w:hAnsi="Cambria" w:cs="Arial"/>
        </w:rPr>
        <w:t>is the peak body representing the interests of nine community legal centres (CLCs) located throughout Tasmania. We are a member-based, independent, not-for-profit and incorporated organisation that</w:t>
      </w:r>
      <w:r w:rsidRPr="0025038D">
        <w:rPr>
          <w:rFonts w:ascii="Cambria" w:hAnsi="Cambria" w:cs="Arial"/>
          <w:color w:val="000000"/>
        </w:rPr>
        <w:t xml:space="preserve"> advocates for law reform on a range of public interest matters aimed at improving access to justice, reducing discrimination and protecting and promoting human rights. </w:t>
      </w:r>
    </w:p>
    <w:p w14:paraId="71A70176" w14:textId="77777777" w:rsidR="005C7524" w:rsidRPr="0025038D" w:rsidRDefault="005C7524" w:rsidP="005C7524">
      <w:pPr>
        <w:pStyle w:val="NoSpacing"/>
        <w:shd w:val="clear" w:color="auto" w:fill="FFFFFF"/>
        <w:jc w:val="both"/>
        <w:rPr>
          <w:rFonts w:ascii="Cambria" w:hAnsi="Cambria" w:cs="Arial"/>
          <w:color w:val="000000"/>
        </w:rPr>
      </w:pPr>
    </w:p>
    <w:p w14:paraId="490E4327" w14:textId="3FF3B7D7" w:rsidR="00CB6696" w:rsidRPr="0025038D" w:rsidRDefault="00CB6696" w:rsidP="005C7524">
      <w:pPr>
        <w:pStyle w:val="NoSpacing"/>
        <w:shd w:val="clear" w:color="auto" w:fill="FFFFFF"/>
        <w:jc w:val="both"/>
        <w:rPr>
          <w:rFonts w:ascii="Cambria" w:hAnsi="Cambria"/>
          <w:b/>
          <w:bCs/>
          <w:color w:val="000000" w:themeColor="text1"/>
        </w:rPr>
      </w:pPr>
      <w:r w:rsidRPr="0025038D">
        <w:rPr>
          <w:rFonts w:ascii="Cambria" w:hAnsi="Cambria"/>
          <w:b/>
          <w:bCs/>
          <w:color w:val="000000" w:themeColor="text1"/>
        </w:rPr>
        <w:t>Family Violence</w:t>
      </w:r>
    </w:p>
    <w:p w14:paraId="2EF00A33" w14:textId="1F4C315B" w:rsidR="005C7524" w:rsidRPr="0025038D" w:rsidRDefault="005C7524" w:rsidP="005C7524">
      <w:pPr>
        <w:pStyle w:val="NoSpacing"/>
        <w:shd w:val="clear" w:color="auto" w:fill="FFFFFF"/>
        <w:jc w:val="both"/>
        <w:rPr>
          <w:rFonts w:ascii="Cambria" w:hAnsi="Cambria"/>
          <w:color w:val="000000" w:themeColor="text1"/>
          <w:bdr w:val="none" w:sz="0" w:space="0" w:color="auto" w:frame="1"/>
        </w:rPr>
      </w:pPr>
      <w:r w:rsidRPr="0025038D">
        <w:rPr>
          <w:rFonts w:ascii="Cambria" w:hAnsi="Cambria"/>
          <w:color w:val="000000" w:themeColor="text1"/>
        </w:rPr>
        <w:t xml:space="preserve">Awareness of family and domestic violence has increased significantly over the last few decades, and was heightened following the announcement of Rosie Batty as Australian of the Year in 2015. Nevertheless, rates of family and domestic violence remain high. According to the most recent </w:t>
      </w:r>
      <w:r w:rsidRPr="0025038D">
        <w:rPr>
          <w:rFonts w:ascii="Cambria" w:hAnsi="Cambria"/>
          <w:i/>
          <w:iCs/>
          <w:color w:val="000000" w:themeColor="text1"/>
        </w:rPr>
        <w:t xml:space="preserve">Australian Bureau of Statistics </w:t>
      </w:r>
      <w:r w:rsidRPr="0025038D">
        <w:rPr>
          <w:rFonts w:ascii="Cambria" w:hAnsi="Cambria"/>
          <w:color w:val="000000" w:themeColor="text1"/>
        </w:rPr>
        <w:t>data, there were 145 victims of family and domestic violence related homicide recorded in 2020, an increase of 12 per cent from the previous year. Nationally, almost two in five homicide and related offences (37 per cent or 145 victims) recorded by state and territory police were family and domestic violence related.</w:t>
      </w:r>
      <w:r w:rsidRPr="0025038D">
        <w:rPr>
          <w:rStyle w:val="FootnoteReference"/>
          <w:rFonts w:ascii="Cambria" w:hAnsi="Cambria"/>
          <w:color w:val="000000" w:themeColor="text1"/>
        </w:rPr>
        <w:footnoteReference w:id="2"/>
      </w:r>
      <w:r w:rsidRPr="0025038D">
        <w:rPr>
          <w:rFonts w:ascii="Cambria" w:hAnsi="Cambria"/>
          <w:color w:val="000000" w:themeColor="text1"/>
        </w:rPr>
        <w:t xml:space="preserve"> As well, almost half of all assaults (46.9 per cent) in Tasmania in 2020 were family and domestic violence related, a 1 per cent increase on 2019.</w:t>
      </w:r>
      <w:r w:rsidRPr="0025038D">
        <w:rPr>
          <w:rStyle w:val="FootnoteReference"/>
          <w:rFonts w:ascii="Cambria" w:hAnsi="Cambria"/>
          <w:color w:val="000000" w:themeColor="text1"/>
        </w:rPr>
        <w:footnoteReference w:id="3"/>
      </w:r>
      <w:r w:rsidRPr="0025038D">
        <w:rPr>
          <w:rFonts w:ascii="Cambria" w:hAnsi="Cambria"/>
          <w:color w:val="000000" w:themeColor="text1"/>
        </w:rPr>
        <w:t xml:space="preserve">     </w:t>
      </w:r>
    </w:p>
    <w:p w14:paraId="5AC49AFB" w14:textId="77777777" w:rsidR="007631D5" w:rsidRPr="0025038D" w:rsidRDefault="007631D5" w:rsidP="005C7524">
      <w:pPr>
        <w:pStyle w:val="xmsonormal"/>
        <w:shd w:val="clear" w:color="auto" w:fill="FFFFFF"/>
        <w:spacing w:before="0" w:beforeAutospacing="0" w:after="0" w:afterAutospacing="0"/>
        <w:jc w:val="both"/>
        <w:rPr>
          <w:rFonts w:ascii="Cambria" w:hAnsi="Cambria"/>
          <w:b/>
          <w:bCs/>
          <w:color w:val="000000"/>
          <w:bdr w:val="none" w:sz="0" w:space="0" w:color="auto" w:frame="1"/>
        </w:rPr>
      </w:pPr>
    </w:p>
    <w:p w14:paraId="0939577C" w14:textId="77777777" w:rsidR="007631D5" w:rsidRPr="0025038D" w:rsidRDefault="007631D5" w:rsidP="005C7524">
      <w:pPr>
        <w:pStyle w:val="xmsonormal"/>
        <w:shd w:val="clear" w:color="auto" w:fill="FFFFFF"/>
        <w:spacing w:before="0" w:beforeAutospacing="0" w:after="0" w:afterAutospacing="0"/>
        <w:jc w:val="both"/>
        <w:rPr>
          <w:rFonts w:ascii="Cambria" w:hAnsi="Cambria"/>
          <w:b/>
          <w:bCs/>
          <w:color w:val="000000"/>
          <w:bdr w:val="none" w:sz="0" w:space="0" w:color="auto" w:frame="1"/>
        </w:rPr>
      </w:pPr>
    </w:p>
    <w:p w14:paraId="57FC380D" w14:textId="0C9347E2" w:rsidR="007631D5" w:rsidRPr="0025038D" w:rsidRDefault="007631D5" w:rsidP="005C7524">
      <w:pPr>
        <w:pStyle w:val="xmsonormal"/>
        <w:shd w:val="clear" w:color="auto" w:fill="FFFFFF"/>
        <w:spacing w:before="0" w:beforeAutospacing="0" w:after="0" w:afterAutospacing="0"/>
        <w:jc w:val="both"/>
        <w:rPr>
          <w:rFonts w:ascii="Cambria" w:hAnsi="Cambria"/>
          <w:b/>
          <w:bCs/>
          <w:color w:val="000000"/>
          <w:bdr w:val="none" w:sz="0" w:space="0" w:color="auto" w:frame="1"/>
        </w:rPr>
      </w:pPr>
      <w:r w:rsidRPr="0025038D">
        <w:rPr>
          <w:rFonts w:ascii="Cambria" w:hAnsi="Cambria"/>
          <w:b/>
          <w:bCs/>
          <w:color w:val="000000"/>
          <w:bdr w:val="none" w:sz="0" w:space="0" w:color="auto" w:frame="1"/>
        </w:rPr>
        <w:lastRenderedPageBreak/>
        <w:t>Family Violence and Transitional Housing</w:t>
      </w:r>
    </w:p>
    <w:p w14:paraId="5BF85F9D" w14:textId="03E08934" w:rsidR="005C7524" w:rsidRPr="0025038D" w:rsidRDefault="005C7524" w:rsidP="005C7524">
      <w:pPr>
        <w:pStyle w:val="xmsonormal"/>
        <w:shd w:val="clear" w:color="auto" w:fill="FFFFFF"/>
        <w:spacing w:before="0" w:beforeAutospacing="0" w:after="0" w:afterAutospacing="0"/>
        <w:jc w:val="both"/>
        <w:rPr>
          <w:rFonts w:ascii="Cambria" w:hAnsi="Cambria"/>
          <w:color w:val="000000" w:themeColor="text1"/>
          <w:bdr w:val="none" w:sz="0" w:space="0" w:color="auto" w:frame="1"/>
        </w:rPr>
      </w:pPr>
      <w:r w:rsidRPr="0025038D">
        <w:rPr>
          <w:rFonts w:ascii="Cambria" w:hAnsi="Cambria"/>
          <w:color w:val="000000"/>
          <w:bdr w:val="none" w:sz="0" w:space="0" w:color="auto" w:frame="1"/>
        </w:rPr>
        <w:t>We are also concerned at the lack of transitional housing for survivors wanting to escape abusive relationships. Family and domestic violence is the most common reason provided by people seeking support from specialist homelessness services in Australia.</w:t>
      </w:r>
      <w:r w:rsidRPr="0025038D">
        <w:rPr>
          <w:rStyle w:val="FootnoteReference"/>
          <w:rFonts w:ascii="Cambria" w:hAnsi="Cambria"/>
          <w:color w:val="000000"/>
          <w:bdr w:val="none" w:sz="0" w:space="0" w:color="auto" w:frame="1"/>
        </w:rPr>
        <w:footnoteReference w:id="4"/>
      </w:r>
      <w:r w:rsidRPr="0025038D">
        <w:rPr>
          <w:rFonts w:ascii="Cambria" w:hAnsi="Cambria"/>
          <w:color w:val="000000"/>
          <w:bdr w:val="none" w:sz="0" w:space="0" w:color="auto" w:frame="1"/>
        </w:rPr>
        <w:t xml:space="preserve"> The current lack of transitional housing means that some survivors of domestic and family violence feel that they have no choice but to remain in violent and abusive relationships. </w:t>
      </w:r>
      <w:r w:rsidRPr="0025038D">
        <w:rPr>
          <w:rFonts w:ascii="Cambria" w:hAnsi="Cambria"/>
          <w:color w:val="000000" w:themeColor="text1"/>
          <w:bdr w:val="none" w:sz="0" w:space="0" w:color="auto" w:frame="1"/>
        </w:rPr>
        <w:t xml:space="preserve">As the following data demonstrates, the number of people seeking housing because of family and domestic violence in Tasmania </w:t>
      </w:r>
      <w:r w:rsidR="005D0469" w:rsidRPr="0025038D">
        <w:rPr>
          <w:rFonts w:ascii="Cambria" w:hAnsi="Cambria"/>
          <w:color w:val="000000" w:themeColor="text1"/>
          <w:bdr w:val="none" w:sz="0" w:space="0" w:color="auto" w:frame="1"/>
        </w:rPr>
        <w:t>remained</w:t>
      </w:r>
      <w:r w:rsidRPr="0025038D">
        <w:rPr>
          <w:rFonts w:ascii="Cambria" w:hAnsi="Cambria"/>
          <w:color w:val="000000" w:themeColor="text1"/>
          <w:bdr w:val="none" w:sz="0" w:space="0" w:color="auto" w:frame="1"/>
        </w:rPr>
        <w:t xml:space="preserve"> relatively stable </w:t>
      </w:r>
      <w:r w:rsidR="005D0469" w:rsidRPr="0025038D">
        <w:rPr>
          <w:rFonts w:ascii="Cambria" w:hAnsi="Cambria"/>
          <w:color w:val="000000" w:themeColor="text1"/>
          <w:bdr w:val="none" w:sz="0" w:space="0" w:color="auto" w:frame="1"/>
        </w:rPr>
        <w:t xml:space="preserve">between 2017/18 – 2019/20 but jumped by a significant 53 per cent </w:t>
      </w:r>
      <w:r w:rsidR="007631D5" w:rsidRPr="0025038D">
        <w:rPr>
          <w:rFonts w:ascii="Cambria" w:hAnsi="Cambria"/>
          <w:color w:val="000000" w:themeColor="text1"/>
          <w:bdr w:val="none" w:sz="0" w:space="0" w:color="auto" w:frame="1"/>
        </w:rPr>
        <w:t>in 2020/21</w:t>
      </w:r>
      <w:r w:rsidRPr="0025038D">
        <w:rPr>
          <w:rFonts w:ascii="Cambria" w:hAnsi="Cambria"/>
          <w:color w:val="000000" w:themeColor="text1"/>
          <w:bdr w:val="none" w:sz="0" w:space="0" w:color="auto" w:frame="1"/>
        </w:rPr>
        <w:t>:</w:t>
      </w:r>
      <w:r w:rsidRPr="0025038D">
        <w:rPr>
          <w:rStyle w:val="FootnoteReference"/>
          <w:rFonts w:ascii="Cambria" w:hAnsi="Cambria"/>
          <w:color w:val="000000" w:themeColor="text1"/>
          <w:bdr w:val="none" w:sz="0" w:space="0" w:color="auto" w:frame="1"/>
        </w:rPr>
        <w:footnoteReference w:id="5"/>
      </w:r>
      <w:r w:rsidRPr="0025038D">
        <w:rPr>
          <w:rFonts w:ascii="Cambria" w:hAnsi="Cambria"/>
          <w:color w:val="000000" w:themeColor="text1"/>
          <w:bdr w:val="none" w:sz="0" w:space="0" w:color="auto" w:frame="1"/>
        </w:rPr>
        <w:t xml:space="preserve">   </w:t>
      </w:r>
    </w:p>
    <w:p w14:paraId="627901D8" w14:textId="77777777" w:rsidR="005C7524" w:rsidRPr="005D0469" w:rsidRDefault="005C7524" w:rsidP="005C7524">
      <w:pPr>
        <w:pStyle w:val="xmsonormal"/>
        <w:shd w:val="clear" w:color="auto" w:fill="FFFFFF"/>
        <w:spacing w:before="0" w:beforeAutospacing="0" w:after="0" w:afterAutospacing="0"/>
        <w:rPr>
          <w:rFonts w:ascii="Cambria" w:hAnsi="Cambria"/>
          <w:color w:val="000000" w:themeColor="text1"/>
          <w:bdr w:val="none" w:sz="0" w:space="0" w:color="auto" w:frame="1"/>
        </w:rPr>
      </w:pPr>
    </w:p>
    <w:p w14:paraId="5748A651" w14:textId="77777777" w:rsidR="005C7524" w:rsidRPr="005D0469" w:rsidRDefault="005C7524" w:rsidP="005C7524">
      <w:pPr>
        <w:jc w:val="center"/>
        <w:rPr>
          <w:rFonts w:ascii="Gill Sans MT" w:hAnsi="Gill Sans MT"/>
          <w:b/>
          <w:color w:val="000000" w:themeColor="text1"/>
          <w:u w:val="single"/>
          <w:lang w:val="en-AU"/>
        </w:rPr>
      </w:pPr>
      <w:r w:rsidRPr="005D0469">
        <w:rPr>
          <w:rFonts w:ascii="Gill Sans MT" w:hAnsi="Gill Sans MT"/>
          <w:b/>
          <w:color w:val="000000" w:themeColor="text1"/>
          <w:u w:val="single"/>
          <w:lang w:val="en-AU"/>
        </w:rPr>
        <w:t>Family violence indicated as a reason for seeking assistance</w:t>
      </w:r>
    </w:p>
    <w:tbl>
      <w:tblPr>
        <w:tblStyle w:val="TableGrid"/>
        <w:tblW w:w="0" w:type="auto"/>
        <w:tblLook w:val="04A0" w:firstRow="1" w:lastRow="0" w:firstColumn="1" w:lastColumn="0" w:noHBand="0" w:noVBand="1"/>
      </w:tblPr>
      <w:tblGrid>
        <w:gridCol w:w="2972"/>
        <w:gridCol w:w="1418"/>
        <w:gridCol w:w="1417"/>
        <w:gridCol w:w="1418"/>
        <w:gridCol w:w="1417"/>
      </w:tblGrid>
      <w:tr w:rsidR="005D0469" w:rsidRPr="005D0469" w14:paraId="3693870E" w14:textId="6165356D" w:rsidTr="005D0469">
        <w:tc>
          <w:tcPr>
            <w:tcW w:w="2972" w:type="dxa"/>
            <w:shd w:val="clear" w:color="auto" w:fill="BFBFBF" w:themeFill="background1" w:themeFillShade="BF"/>
          </w:tcPr>
          <w:p w14:paraId="19214C04" w14:textId="77777777" w:rsidR="005D0469" w:rsidRPr="005D0469" w:rsidRDefault="005D0469" w:rsidP="005D0469">
            <w:pPr>
              <w:rPr>
                <w:rFonts w:ascii="Gill Sans MT" w:hAnsi="Gill Sans MT"/>
                <w:b/>
                <w:color w:val="000000" w:themeColor="text1"/>
                <w:lang w:val="en-AU"/>
              </w:rPr>
            </w:pPr>
            <w:r w:rsidRPr="005D0469">
              <w:rPr>
                <w:rFonts w:ascii="Gill Sans MT" w:hAnsi="Gill Sans MT"/>
                <w:b/>
                <w:color w:val="000000" w:themeColor="text1"/>
                <w:lang w:val="en-AU"/>
              </w:rPr>
              <w:t>Family Violence Reason</w:t>
            </w:r>
          </w:p>
        </w:tc>
        <w:tc>
          <w:tcPr>
            <w:tcW w:w="1418" w:type="dxa"/>
            <w:shd w:val="clear" w:color="auto" w:fill="BFBFBF" w:themeFill="background1" w:themeFillShade="BF"/>
          </w:tcPr>
          <w:p w14:paraId="2D6E0015" w14:textId="77777777"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2017-18</w:t>
            </w:r>
          </w:p>
        </w:tc>
        <w:tc>
          <w:tcPr>
            <w:tcW w:w="1417" w:type="dxa"/>
            <w:shd w:val="clear" w:color="auto" w:fill="BFBFBF" w:themeFill="background1" w:themeFillShade="BF"/>
          </w:tcPr>
          <w:p w14:paraId="7005FC2B" w14:textId="77777777"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2018-19</w:t>
            </w:r>
          </w:p>
        </w:tc>
        <w:tc>
          <w:tcPr>
            <w:tcW w:w="1418" w:type="dxa"/>
            <w:shd w:val="clear" w:color="auto" w:fill="BFBFBF" w:themeFill="background1" w:themeFillShade="BF"/>
          </w:tcPr>
          <w:p w14:paraId="30A7F5F5" w14:textId="77777777"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2019-20</w:t>
            </w:r>
          </w:p>
        </w:tc>
        <w:tc>
          <w:tcPr>
            <w:tcW w:w="1417" w:type="dxa"/>
            <w:shd w:val="clear" w:color="auto" w:fill="BFBFBF" w:themeFill="background1" w:themeFillShade="BF"/>
          </w:tcPr>
          <w:p w14:paraId="02BF7E61" w14:textId="19B92169"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2020-21</w:t>
            </w:r>
          </w:p>
        </w:tc>
      </w:tr>
      <w:tr w:rsidR="005D0469" w:rsidRPr="005D0469" w14:paraId="025EF773" w14:textId="075FF24F" w:rsidTr="005D0469">
        <w:tc>
          <w:tcPr>
            <w:tcW w:w="2972" w:type="dxa"/>
          </w:tcPr>
          <w:p w14:paraId="54B0EFC3" w14:textId="77777777" w:rsidR="005D0469" w:rsidRPr="005D0469" w:rsidRDefault="005D0469" w:rsidP="005D0469">
            <w:pPr>
              <w:rPr>
                <w:rFonts w:ascii="Gill Sans MT" w:hAnsi="Gill Sans MT"/>
                <w:bCs/>
                <w:color w:val="000000" w:themeColor="text1"/>
                <w:lang w:val="en-AU"/>
              </w:rPr>
            </w:pPr>
            <w:r w:rsidRPr="005D0469">
              <w:rPr>
                <w:rFonts w:ascii="Gill Sans MT" w:hAnsi="Gill Sans MT"/>
                <w:bCs/>
                <w:color w:val="000000" w:themeColor="text1"/>
                <w:lang w:val="en-AU"/>
              </w:rPr>
              <w:t>Yes</w:t>
            </w:r>
          </w:p>
        </w:tc>
        <w:tc>
          <w:tcPr>
            <w:tcW w:w="1418" w:type="dxa"/>
          </w:tcPr>
          <w:p w14:paraId="22EAF737" w14:textId="77777777"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1 590</w:t>
            </w:r>
          </w:p>
        </w:tc>
        <w:tc>
          <w:tcPr>
            <w:tcW w:w="1417" w:type="dxa"/>
          </w:tcPr>
          <w:p w14:paraId="2B1AB79F" w14:textId="77777777"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1 553</w:t>
            </w:r>
          </w:p>
        </w:tc>
        <w:tc>
          <w:tcPr>
            <w:tcW w:w="1418" w:type="dxa"/>
          </w:tcPr>
          <w:p w14:paraId="3B0322E8" w14:textId="77777777"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1 560</w:t>
            </w:r>
          </w:p>
        </w:tc>
        <w:tc>
          <w:tcPr>
            <w:tcW w:w="1417" w:type="dxa"/>
          </w:tcPr>
          <w:p w14:paraId="06DF747B" w14:textId="7BBB9DA5"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2 391</w:t>
            </w:r>
          </w:p>
        </w:tc>
      </w:tr>
      <w:tr w:rsidR="005D0469" w:rsidRPr="005D0469" w14:paraId="0469100F" w14:textId="45844A7F" w:rsidTr="005D0469">
        <w:tc>
          <w:tcPr>
            <w:tcW w:w="2972" w:type="dxa"/>
          </w:tcPr>
          <w:p w14:paraId="1047B01A" w14:textId="77777777" w:rsidR="005D0469" w:rsidRPr="005D0469" w:rsidRDefault="005D0469" w:rsidP="005D0469">
            <w:pPr>
              <w:rPr>
                <w:rFonts w:ascii="Gill Sans MT" w:hAnsi="Gill Sans MT"/>
                <w:bCs/>
                <w:color w:val="000000" w:themeColor="text1"/>
                <w:lang w:val="en-AU"/>
              </w:rPr>
            </w:pPr>
            <w:r w:rsidRPr="005D0469">
              <w:rPr>
                <w:rFonts w:ascii="Gill Sans MT" w:hAnsi="Gill Sans MT"/>
                <w:bCs/>
                <w:color w:val="000000" w:themeColor="text1"/>
                <w:lang w:val="en-AU"/>
              </w:rPr>
              <w:t>No</w:t>
            </w:r>
          </w:p>
        </w:tc>
        <w:tc>
          <w:tcPr>
            <w:tcW w:w="1418" w:type="dxa"/>
          </w:tcPr>
          <w:p w14:paraId="293B8734" w14:textId="77777777"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4 918</w:t>
            </w:r>
          </w:p>
        </w:tc>
        <w:tc>
          <w:tcPr>
            <w:tcW w:w="1417" w:type="dxa"/>
          </w:tcPr>
          <w:p w14:paraId="6BBE9162" w14:textId="77777777"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5 070</w:t>
            </w:r>
          </w:p>
        </w:tc>
        <w:tc>
          <w:tcPr>
            <w:tcW w:w="1418" w:type="dxa"/>
          </w:tcPr>
          <w:p w14:paraId="08DC3EFC" w14:textId="77777777"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4 884</w:t>
            </w:r>
          </w:p>
        </w:tc>
        <w:tc>
          <w:tcPr>
            <w:tcW w:w="1417" w:type="dxa"/>
          </w:tcPr>
          <w:p w14:paraId="7F2AC114" w14:textId="216BF9F9"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4 176</w:t>
            </w:r>
          </w:p>
        </w:tc>
      </w:tr>
      <w:tr w:rsidR="005D0469" w:rsidRPr="005D0469" w14:paraId="61E8FDCB" w14:textId="263E1880" w:rsidTr="005D0469">
        <w:tc>
          <w:tcPr>
            <w:tcW w:w="2972" w:type="dxa"/>
            <w:shd w:val="clear" w:color="auto" w:fill="BFBFBF" w:themeFill="background1" w:themeFillShade="BF"/>
          </w:tcPr>
          <w:p w14:paraId="4D99C001" w14:textId="77777777" w:rsidR="005D0469" w:rsidRPr="005D0469" w:rsidRDefault="005D0469" w:rsidP="005D0469">
            <w:pPr>
              <w:rPr>
                <w:rFonts w:ascii="Gill Sans MT" w:hAnsi="Gill Sans MT"/>
                <w:b/>
                <w:color w:val="000000" w:themeColor="text1"/>
                <w:lang w:val="en-AU"/>
              </w:rPr>
            </w:pPr>
            <w:r w:rsidRPr="005D0469">
              <w:rPr>
                <w:rFonts w:ascii="Gill Sans MT" w:hAnsi="Gill Sans MT"/>
                <w:b/>
                <w:color w:val="000000" w:themeColor="text1"/>
                <w:lang w:val="en-AU"/>
              </w:rPr>
              <w:t>Total</w:t>
            </w:r>
          </w:p>
        </w:tc>
        <w:tc>
          <w:tcPr>
            <w:tcW w:w="1418" w:type="dxa"/>
            <w:shd w:val="clear" w:color="auto" w:fill="BFBFBF" w:themeFill="background1" w:themeFillShade="BF"/>
          </w:tcPr>
          <w:p w14:paraId="1E67B4D1" w14:textId="77777777"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6 508</w:t>
            </w:r>
          </w:p>
        </w:tc>
        <w:tc>
          <w:tcPr>
            <w:tcW w:w="1417" w:type="dxa"/>
            <w:shd w:val="clear" w:color="auto" w:fill="BFBFBF" w:themeFill="background1" w:themeFillShade="BF"/>
          </w:tcPr>
          <w:p w14:paraId="0B907039" w14:textId="77777777"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6 623</w:t>
            </w:r>
          </w:p>
        </w:tc>
        <w:tc>
          <w:tcPr>
            <w:tcW w:w="1418" w:type="dxa"/>
            <w:shd w:val="clear" w:color="auto" w:fill="BFBFBF" w:themeFill="background1" w:themeFillShade="BF"/>
          </w:tcPr>
          <w:p w14:paraId="3F2DFA52" w14:textId="77777777"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6 444</w:t>
            </w:r>
          </w:p>
        </w:tc>
        <w:tc>
          <w:tcPr>
            <w:tcW w:w="1417" w:type="dxa"/>
            <w:shd w:val="clear" w:color="auto" w:fill="BFBFBF" w:themeFill="background1" w:themeFillShade="BF"/>
          </w:tcPr>
          <w:p w14:paraId="373EA045" w14:textId="130B22A9"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6 567</w:t>
            </w:r>
          </w:p>
        </w:tc>
      </w:tr>
    </w:tbl>
    <w:p w14:paraId="425D4510" w14:textId="77777777" w:rsidR="005C7524" w:rsidRDefault="005C7524" w:rsidP="005C7524">
      <w:pPr>
        <w:jc w:val="both"/>
        <w:rPr>
          <w:rFonts w:ascii="Cambria" w:hAnsi="Cambria"/>
          <w:bCs/>
          <w:lang w:val="en-AU"/>
        </w:rPr>
      </w:pPr>
    </w:p>
    <w:p w14:paraId="0F2F5B5F" w14:textId="6B68212A" w:rsidR="005C7524" w:rsidRPr="005D0469" w:rsidRDefault="005C7524" w:rsidP="005C7524">
      <w:pPr>
        <w:jc w:val="both"/>
        <w:rPr>
          <w:rFonts w:ascii="Cambria" w:hAnsi="Cambria"/>
          <w:bCs/>
          <w:color w:val="000000" w:themeColor="text1"/>
          <w:lang w:val="en-AU"/>
        </w:rPr>
      </w:pPr>
      <w:r w:rsidRPr="005D0469">
        <w:rPr>
          <w:rFonts w:ascii="Cambria" w:hAnsi="Cambria"/>
          <w:bCs/>
          <w:color w:val="000000" w:themeColor="text1"/>
          <w:lang w:val="en-AU"/>
        </w:rPr>
        <w:t xml:space="preserve">The data also demonstrates that Tasmanian survivors of family and domestic violence who are homeless when they request assistance with housing has increased by 8 per cent over the last </w:t>
      </w:r>
      <w:r w:rsidR="005D0469" w:rsidRPr="005D0469">
        <w:rPr>
          <w:rFonts w:ascii="Cambria" w:hAnsi="Cambria"/>
          <w:bCs/>
          <w:color w:val="000000" w:themeColor="text1"/>
          <w:lang w:val="en-AU"/>
        </w:rPr>
        <w:t>four</w:t>
      </w:r>
      <w:r w:rsidRPr="005D0469">
        <w:rPr>
          <w:rFonts w:ascii="Cambria" w:hAnsi="Cambria"/>
          <w:bCs/>
          <w:color w:val="000000" w:themeColor="text1"/>
          <w:lang w:val="en-AU"/>
        </w:rPr>
        <w:t xml:space="preserve"> years:</w:t>
      </w:r>
    </w:p>
    <w:p w14:paraId="26D0F5D9" w14:textId="77777777" w:rsidR="005C7524" w:rsidRPr="005D0469" w:rsidRDefault="005C7524" w:rsidP="005C7524">
      <w:pPr>
        <w:rPr>
          <w:rFonts w:ascii="Gill Sans MT" w:hAnsi="Gill Sans MT"/>
          <w:bCs/>
          <w:color w:val="000000" w:themeColor="text1"/>
          <w:lang w:val="en-AU"/>
        </w:rPr>
      </w:pPr>
    </w:p>
    <w:p w14:paraId="3974515C" w14:textId="77777777" w:rsidR="005C7524" w:rsidRPr="005D0469" w:rsidRDefault="005C7524" w:rsidP="005C7524">
      <w:pPr>
        <w:jc w:val="center"/>
        <w:rPr>
          <w:rFonts w:ascii="Gill Sans MT" w:hAnsi="Gill Sans MT"/>
          <w:b/>
          <w:color w:val="000000" w:themeColor="text1"/>
          <w:u w:val="single"/>
          <w:lang w:val="en-AU"/>
        </w:rPr>
      </w:pPr>
      <w:r w:rsidRPr="005D0469">
        <w:rPr>
          <w:rFonts w:ascii="Gill Sans MT" w:hAnsi="Gill Sans MT"/>
          <w:b/>
          <w:color w:val="000000" w:themeColor="text1"/>
          <w:u w:val="single"/>
          <w:lang w:val="en-AU"/>
        </w:rPr>
        <w:t>Housing status (first reported) - family violence clients</w:t>
      </w:r>
    </w:p>
    <w:tbl>
      <w:tblPr>
        <w:tblStyle w:val="TableGrid"/>
        <w:tblW w:w="8784" w:type="dxa"/>
        <w:tblLook w:val="04A0" w:firstRow="1" w:lastRow="0" w:firstColumn="1" w:lastColumn="0" w:noHBand="0" w:noVBand="1"/>
      </w:tblPr>
      <w:tblGrid>
        <w:gridCol w:w="3628"/>
        <w:gridCol w:w="1187"/>
        <w:gridCol w:w="1417"/>
        <w:gridCol w:w="1418"/>
        <w:gridCol w:w="1134"/>
      </w:tblGrid>
      <w:tr w:rsidR="005D0469" w:rsidRPr="005D0469" w14:paraId="32F6EC1C" w14:textId="01F1779C" w:rsidTr="005D0469">
        <w:tc>
          <w:tcPr>
            <w:tcW w:w="3628" w:type="dxa"/>
            <w:shd w:val="clear" w:color="auto" w:fill="BFBFBF" w:themeFill="background1" w:themeFillShade="BF"/>
          </w:tcPr>
          <w:p w14:paraId="3E6213DC" w14:textId="77777777" w:rsidR="005D0469" w:rsidRPr="005D0469" w:rsidRDefault="005D0469" w:rsidP="005D0469">
            <w:pPr>
              <w:rPr>
                <w:rFonts w:ascii="Gill Sans MT" w:hAnsi="Gill Sans MT"/>
                <w:b/>
                <w:color w:val="000000" w:themeColor="text1"/>
                <w:lang w:val="en-AU"/>
              </w:rPr>
            </w:pPr>
            <w:r w:rsidRPr="005D0469">
              <w:rPr>
                <w:rFonts w:ascii="Gill Sans MT" w:hAnsi="Gill Sans MT"/>
                <w:b/>
                <w:color w:val="000000" w:themeColor="text1"/>
                <w:lang w:val="en-AU"/>
              </w:rPr>
              <w:t>Homelessness Status</w:t>
            </w:r>
          </w:p>
        </w:tc>
        <w:tc>
          <w:tcPr>
            <w:tcW w:w="1187" w:type="dxa"/>
            <w:shd w:val="clear" w:color="auto" w:fill="BFBFBF" w:themeFill="background1" w:themeFillShade="BF"/>
          </w:tcPr>
          <w:p w14:paraId="53A0A5CE" w14:textId="77777777"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2017-18</w:t>
            </w:r>
          </w:p>
        </w:tc>
        <w:tc>
          <w:tcPr>
            <w:tcW w:w="1417" w:type="dxa"/>
            <w:shd w:val="clear" w:color="auto" w:fill="BFBFBF" w:themeFill="background1" w:themeFillShade="BF"/>
          </w:tcPr>
          <w:p w14:paraId="5505A33B" w14:textId="77777777"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2018-19</w:t>
            </w:r>
          </w:p>
        </w:tc>
        <w:tc>
          <w:tcPr>
            <w:tcW w:w="1418" w:type="dxa"/>
            <w:shd w:val="clear" w:color="auto" w:fill="BFBFBF" w:themeFill="background1" w:themeFillShade="BF"/>
          </w:tcPr>
          <w:p w14:paraId="5453EEA4" w14:textId="77777777"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2019-20</w:t>
            </w:r>
          </w:p>
        </w:tc>
        <w:tc>
          <w:tcPr>
            <w:tcW w:w="1134" w:type="dxa"/>
            <w:shd w:val="clear" w:color="auto" w:fill="BFBFBF" w:themeFill="background1" w:themeFillShade="BF"/>
          </w:tcPr>
          <w:p w14:paraId="2786421D" w14:textId="7CF5EBA1"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2020-21</w:t>
            </w:r>
          </w:p>
        </w:tc>
      </w:tr>
      <w:tr w:rsidR="005D0469" w:rsidRPr="005D0469" w14:paraId="13F93544" w14:textId="64A30CFB" w:rsidTr="005D0469">
        <w:tc>
          <w:tcPr>
            <w:tcW w:w="3628" w:type="dxa"/>
          </w:tcPr>
          <w:p w14:paraId="45CCC28B" w14:textId="77777777" w:rsidR="005D0469" w:rsidRPr="005D0469" w:rsidRDefault="005D0469" w:rsidP="005D0469">
            <w:pPr>
              <w:rPr>
                <w:rFonts w:ascii="Gill Sans MT" w:hAnsi="Gill Sans MT"/>
                <w:bCs/>
                <w:color w:val="000000" w:themeColor="text1"/>
                <w:lang w:val="en-AU"/>
              </w:rPr>
            </w:pPr>
            <w:r w:rsidRPr="005D0469">
              <w:rPr>
                <w:rFonts w:ascii="Gill Sans MT" w:hAnsi="Gill Sans MT"/>
                <w:bCs/>
                <w:color w:val="000000" w:themeColor="text1"/>
                <w:lang w:val="en-AU"/>
              </w:rPr>
              <w:t>Primary homeless:</w:t>
            </w:r>
          </w:p>
          <w:p w14:paraId="5B501633" w14:textId="77777777" w:rsidR="005D0469" w:rsidRPr="005D0469" w:rsidRDefault="005D0469" w:rsidP="005D0469">
            <w:pPr>
              <w:pStyle w:val="ListParagraph"/>
              <w:numPr>
                <w:ilvl w:val="0"/>
                <w:numId w:val="1"/>
              </w:numPr>
              <w:rPr>
                <w:rFonts w:ascii="Gill Sans MT" w:hAnsi="Gill Sans MT"/>
                <w:bCs/>
                <w:color w:val="000000" w:themeColor="text1"/>
                <w:sz w:val="24"/>
              </w:rPr>
            </w:pPr>
            <w:r w:rsidRPr="005D0469">
              <w:rPr>
                <w:rFonts w:ascii="Gill Sans MT" w:hAnsi="Gill Sans MT"/>
                <w:bCs/>
                <w:color w:val="000000" w:themeColor="text1"/>
                <w:sz w:val="24"/>
              </w:rPr>
              <w:t>No shelter or improvised/inadequate dwelling</w:t>
            </w:r>
          </w:p>
          <w:p w14:paraId="2A709C36" w14:textId="77777777" w:rsidR="005D0469" w:rsidRPr="005D0469" w:rsidRDefault="005D0469" w:rsidP="005D0469">
            <w:pPr>
              <w:pStyle w:val="ListParagraph"/>
              <w:numPr>
                <w:ilvl w:val="0"/>
                <w:numId w:val="1"/>
              </w:numPr>
              <w:rPr>
                <w:rFonts w:ascii="Gill Sans MT" w:hAnsi="Gill Sans MT"/>
                <w:bCs/>
                <w:color w:val="000000" w:themeColor="text1"/>
                <w:sz w:val="24"/>
              </w:rPr>
            </w:pPr>
            <w:r w:rsidRPr="005D0469">
              <w:rPr>
                <w:rFonts w:ascii="Gill Sans MT" w:hAnsi="Gill Sans MT"/>
                <w:bCs/>
                <w:color w:val="000000" w:themeColor="text1"/>
                <w:sz w:val="24"/>
              </w:rPr>
              <w:t>Other homeless</w:t>
            </w:r>
          </w:p>
        </w:tc>
        <w:tc>
          <w:tcPr>
            <w:tcW w:w="1187" w:type="dxa"/>
          </w:tcPr>
          <w:p w14:paraId="3D259CDB" w14:textId="77777777"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147</w:t>
            </w:r>
          </w:p>
        </w:tc>
        <w:tc>
          <w:tcPr>
            <w:tcW w:w="1417" w:type="dxa"/>
          </w:tcPr>
          <w:p w14:paraId="66FF6435" w14:textId="77777777"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152</w:t>
            </w:r>
          </w:p>
        </w:tc>
        <w:tc>
          <w:tcPr>
            <w:tcW w:w="1418" w:type="dxa"/>
          </w:tcPr>
          <w:p w14:paraId="6EB43F9C" w14:textId="77777777"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159</w:t>
            </w:r>
          </w:p>
        </w:tc>
        <w:tc>
          <w:tcPr>
            <w:tcW w:w="1134" w:type="dxa"/>
          </w:tcPr>
          <w:p w14:paraId="5E35DDBC" w14:textId="7B598B72"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159</w:t>
            </w:r>
          </w:p>
        </w:tc>
      </w:tr>
      <w:tr w:rsidR="005D0469" w:rsidRPr="005D0469" w14:paraId="455354A0" w14:textId="53886C5B" w:rsidTr="005D0469">
        <w:tc>
          <w:tcPr>
            <w:tcW w:w="3628" w:type="dxa"/>
          </w:tcPr>
          <w:p w14:paraId="5A7D3344" w14:textId="77777777" w:rsidR="005D0469" w:rsidRPr="005D0469" w:rsidRDefault="005D0469" w:rsidP="005D0469">
            <w:pPr>
              <w:rPr>
                <w:rFonts w:ascii="Gill Sans MT" w:hAnsi="Gill Sans MT"/>
                <w:bCs/>
                <w:color w:val="000000" w:themeColor="text1"/>
                <w:lang w:val="en-AU"/>
              </w:rPr>
            </w:pPr>
            <w:r w:rsidRPr="005D0469">
              <w:rPr>
                <w:rFonts w:ascii="Gill Sans MT" w:hAnsi="Gill Sans MT"/>
                <w:bCs/>
                <w:color w:val="000000" w:themeColor="text1"/>
                <w:lang w:val="en-AU"/>
              </w:rPr>
              <w:t>Other</w:t>
            </w:r>
          </w:p>
        </w:tc>
        <w:tc>
          <w:tcPr>
            <w:tcW w:w="1187" w:type="dxa"/>
          </w:tcPr>
          <w:p w14:paraId="10248F13" w14:textId="77777777"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1 443</w:t>
            </w:r>
          </w:p>
        </w:tc>
        <w:tc>
          <w:tcPr>
            <w:tcW w:w="1417" w:type="dxa"/>
          </w:tcPr>
          <w:p w14:paraId="6591776F" w14:textId="77777777"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1 401</w:t>
            </w:r>
          </w:p>
        </w:tc>
        <w:tc>
          <w:tcPr>
            <w:tcW w:w="1418" w:type="dxa"/>
          </w:tcPr>
          <w:p w14:paraId="189FCB9F" w14:textId="77777777"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1 401</w:t>
            </w:r>
          </w:p>
        </w:tc>
        <w:tc>
          <w:tcPr>
            <w:tcW w:w="1134" w:type="dxa"/>
          </w:tcPr>
          <w:p w14:paraId="33B1D0F3" w14:textId="5F9B82B8" w:rsidR="005D0469" w:rsidRPr="005D0469" w:rsidRDefault="005D0469" w:rsidP="005D0469">
            <w:pPr>
              <w:jc w:val="center"/>
              <w:rPr>
                <w:rFonts w:ascii="Gill Sans MT" w:hAnsi="Gill Sans MT"/>
                <w:bCs/>
                <w:color w:val="000000" w:themeColor="text1"/>
                <w:lang w:val="en-AU"/>
              </w:rPr>
            </w:pPr>
            <w:r w:rsidRPr="005D0469">
              <w:rPr>
                <w:rFonts w:ascii="Gill Sans MT" w:hAnsi="Gill Sans MT"/>
                <w:bCs/>
                <w:color w:val="000000" w:themeColor="text1"/>
                <w:lang w:val="en-AU"/>
              </w:rPr>
              <w:t>1 389</w:t>
            </w:r>
          </w:p>
        </w:tc>
      </w:tr>
      <w:tr w:rsidR="005D0469" w:rsidRPr="005D0469" w14:paraId="3A30F597" w14:textId="47A9D7B6" w:rsidTr="005D0469">
        <w:tc>
          <w:tcPr>
            <w:tcW w:w="3628" w:type="dxa"/>
            <w:shd w:val="clear" w:color="auto" w:fill="BFBFBF" w:themeFill="background1" w:themeFillShade="BF"/>
          </w:tcPr>
          <w:p w14:paraId="28E24B01" w14:textId="77777777" w:rsidR="005D0469" w:rsidRPr="005D0469" w:rsidRDefault="005D0469" w:rsidP="005D0469">
            <w:pPr>
              <w:rPr>
                <w:rFonts w:ascii="Gill Sans MT" w:hAnsi="Gill Sans MT"/>
                <w:b/>
                <w:color w:val="000000" w:themeColor="text1"/>
                <w:lang w:val="en-AU"/>
              </w:rPr>
            </w:pPr>
            <w:r w:rsidRPr="005D0469">
              <w:rPr>
                <w:rFonts w:ascii="Gill Sans MT" w:hAnsi="Gill Sans MT"/>
                <w:b/>
                <w:color w:val="000000" w:themeColor="text1"/>
                <w:lang w:val="en-AU"/>
              </w:rPr>
              <w:t>Total</w:t>
            </w:r>
          </w:p>
        </w:tc>
        <w:tc>
          <w:tcPr>
            <w:tcW w:w="1187" w:type="dxa"/>
            <w:shd w:val="clear" w:color="auto" w:fill="BFBFBF" w:themeFill="background1" w:themeFillShade="BF"/>
          </w:tcPr>
          <w:p w14:paraId="0C6426C7" w14:textId="77777777"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1 590</w:t>
            </w:r>
          </w:p>
        </w:tc>
        <w:tc>
          <w:tcPr>
            <w:tcW w:w="1417" w:type="dxa"/>
            <w:shd w:val="clear" w:color="auto" w:fill="BFBFBF" w:themeFill="background1" w:themeFillShade="BF"/>
          </w:tcPr>
          <w:p w14:paraId="793069B8" w14:textId="77777777"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1 553</w:t>
            </w:r>
          </w:p>
        </w:tc>
        <w:tc>
          <w:tcPr>
            <w:tcW w:w="1418" w:type="dxa"/>
            <w:shd w:val="clear" w:color="auto" w:fill="BFBFBF" w:themeFill="background1" w:themeFillShade="BF"/>
          </w:tcPr>
          <w:p w14:paraId="5154B858" w14:textId="77777777"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1 560</w:t>
            </w:r>
          </w:p>
        </w:tc>
        <w:tc>
          <w:tcPr>
            <w:tcW w:w="1134" w:type="dxa"/>
            <w:shd w:val="clear" w:color="auto" w:fill="BFBFBF" w:themeFill="background1" w:themeFillShade="BF"/>
          </w:tcPr>
          <w:p w14:paraId="59C54E5D" w14:textId="560A7F1E" w:rsidR="005D0469" w:rsidRPr="005D0469" w:rsidRDefault="005D0469" w:rsidP="005D0469">
            <w:pPr>
              <w:jc w:val="center"/>
              <w:rPr>
                <w:rFonts w:ascii="Gill Sans MT" w:hAnsi="Gill Sans MT"/>
                <w:b/>
                <w:color w:val="000000" w:themeColor="text1"/>
                <w:lang w:val="en-AU"/>
              </w:rPr>
            </w:pPr>
            <w:r w:rsidRPr="005D0469">
              <w:rPr>
                <w:rFonts w:ascii="Gill Sans MT" w:hAnsi="Gill Sans MT"/>
                <w:b/>
                <w:color w:val="000000" w:themeColor="text1"/>
                <w:lang w:val="en-AU"/>
              </w:rPr>
              <w:t>1 548</w:t>
            </w:r>
          </w:p>
        </w:tc>
      </w:tr>
    </w:tbl>
    <w:p w14:paraId="034A71BC" w14:textId="77777777" w:rsidR="005C7524" w:rsidRPr="0053777E" w:rsidRDefault="005C7524" w:rsidP="005C7524">
      <w:pPr>
        <w:rPr>
          <w:rFonts w:ascii="Gill Sans MT" w:hAnsi="Gill Sans MT"/>
          <w:bCs/>
          <w:sz w:val="16"/>
          <w:szCs w:val="18"/>
          <w:lang w:val="en-AU"/>
        </w:rPr>
      </w:pPr>
    </w:p>
    <w:p w14:paraId="6208ACFE" w14:textId="77777777" w:rsidR="005D0469" w:rsidRDefault="005D0469" w:rsidP="005D0469">
      <w:pPr>
        <w:pStyle w:val="NoSpacing"/>
      </w:pPr>
    </w:p>
    <w:p w14:paraId="3A78BC9B" w14:textId="16E17315" w:rsidR="005D0469" w:rsidRPr="005D0469" w:rsidRDefault="005C7524" w:rsidP="005D0469">
      <w:pPr>
        <w:jc w:val="both"/>
        <w:rPr>
          <w:rFonts w:ascii="Cambria" w:hAnsi="Cambria"/>
          <w:bCs/>
          <w:color w:val="000000" w:themeColor="text1"/>
          <w:lang w:val="en-AU"/>
        </w:rPr>
      </w:pPr>
      <w:r w:rsidRPr="005D0469">
        <w:rPr>
          <w:rFonts w:ascii="Cambria" w:hAnsi="Cambria"/>
          <w:bCs/>
          <w:color w:val="000000" w:themeColor="text1"/>
          <w:lang w:val="en-AU"/>
        </w:rPr>
        <w:t xml:space="preserve">Most worryingly, survivors of family and domestic violence who remain homeless after requesting assistance has risen from one third (34 per cent) to </w:t>
      </w:r>
      <w:r w:rsidR="005D0469" w:rsidRPr="005D0469">
        <w:rPr>
          <w:rFonts w:ascii="Cambria" w:hAnsi="Cambria"/>
          <w:bCs/>
          <w:color w:val="000000" w:themeColor="text1"/>
          <w:lang w:val="en-AU"/>
        </w:rPr>
        <w:t>more than</w:t>
      </w:r>
      <w:r w:rsidRPr="005D0469">
        <w:rPr>
          <w:rFonts w:ascii="Cambria" w:hAnsi="Cambria"/>
          <w:bCs/>
          <w:color w:val="000000" w:themeColor="text1"/>
          <w:lang w:val="en-AU"/>
        </w:rPr>
        <w:t xml:space="preserve"> half (</w:t>
      </w:r>
      <w:r w:rsidR="005D0469" w:rsidRPr="005D0469">
        <w:rPr>
          <w:rFonts w:ascii="Cambria" w:hAnsi="Cambria"/>
          <w:bCs/>
          <w:color w:val="000000" w:themeColor="text1"/>
          <w:lang w:val="en-AU"/>
        </w:rPr>
        <w:t>51</w:t>
      </w:r>
      <w:r w:rsidRPr="005D0469">
        <w:rPr>
          <w:rFonts w:ascii="Cambria" w:hAnsi="Cambria"/>
          <w:bCs/>
          <w:color w:val="000000" w:themeColor="text1"/>
          <w:lang w:val="en-AU"/>
        </w:rPr>
        <w:t xml:space="preserve"> per cent). And, the number of survivors who are housed in either a social housing or private rental property has dropped by </w:t>
      </w:r>
      <w:r w:rsidR="005D0469" w:rsidRPr="005D0469">
        <w:rPr>
          <w:rFonts w:ascii="Cambria" w:hAnsi="Cambria"/>
          <w:bCs/>
          <w:color w:val="000000" w:themeColor="text1"/>
          <w:lang w:val="en-AU"/>
        </w:rPr>
        <w:t>41</w:t>
      </w:r>
      <w:r w:rsidRPr="005D0469">
        <w:rPr>
          <w:rFonts w:ascii="Cambria" w:hAnsi="Cambria"/>
          <w:bCs/>
          <w:color w:val="000000" w:themeColor="text1"/>
          <w:lang w:val="en-AU"/>
        </w:rPr>
        <w:t xml:space="preserve"> per cent.   </w:t>
      </w:r>
    </w:p>
    <w:p w14:paraId="2E49742E" w14:textId="77777777" w:rsidR="00B60246" w:rsidRPr="005D0469" w:rsidRDefault="00B60246" w:rsidP="005D0469">
      <w:pPr>
        <w:rPr>
          <w:rFonts w:ascii="Gill Sans MT" w:hAnsi="Gill Sans MT"/>
          <w:b/>
          <w:color w:val="000000" w:themeColor="text1"/>
          <w:u w:val="single"/>
          <w:lang w:val="en-AU"/>
        </w:rPr>
      </w:pPr>
    </w:p>
    <w:p w14:paraId="69F5B084" w14:textId="349EA456" w:rsidR="005C7524" w:rsidRPr="005D0469" w:rsidRDefault="005C7524" w:rsidP="005C7524">
      <w:pPr>
        <w:jc w:val="center"/>
        <w:rPr>
          <w:rFonts w:ascii="Gill Sans MT" w:hAnsi="Gill Sans MT"/>
          <w:b/>
          <w:color w:val="000000" w:themeColor="text1"/>
          <w:u w:val="single"/>
          <w:lang w:val="en-AU"/>
        </w:rPr>
      </w:pPr>
      <w:r w:rsidRPr="005D0469">
        <w:rPr>
          <w:rFonts w:ascii="Gill Sans MT" w:hAnsi="Gill Sans MT"/>
          <w:b/>
          <w:color w:val="000000" w:themeColor="text1"/>
          <w:u w:val="single"/>
          <w:lang w:val="en-AU"/>
        </w:rPr>
        <w:t>Housing status (last reported) - family violence clients</w:t>
      </w:r>
    </w:p>
    <w:tbl>
      <w:tblPr>
        <w:tblStyle w:val="TableGrid"/>
        <w:tblW w:w="8926" w:type="dxa"/>
        <w:tblLook w:val="04A0" w:firstRow="1" w:lastRow="0" w:firstColumn="1" w:lastColumn="0" w:noHBand="0" w:noVBand="1"/>
      </w:tblPr>
      <w:tblGrid>
        <w:gridCol w:w="3397"/>
        <w:gridCol w:w="1276"/>
        <w:gridCol w:w="1276"/>
        <w:gridCol w:w="1559"/>
        <w:gridCol w:w="1418"/>
      </w:tblGrid>
      <w:tr w:rsidR="005D0469" w:rsidRPr="005D0469" w14:paraId="7B12FFFE" w14:textId="2FE67C2E" w:rsidTr="005D0469">
        <w:tc>
          <w:tcPr>
            <w:tcW w:w="3397" w:type="dxa"/>
            <w:shd w:val="clear" w:color="auto" w:fill="BFBFBF" w:themeFill="background1" w:themeFillShade="BF"/>
          </w:tcPr>
          <w:p w14:paraId="1181AF8B" w14:textId="77777777" w:rsidR="005D0469" w:rsidRPr="005D0469" w:rsidRDefault="005D0469" w:rsidP="005D0469">
            <w:pPr>
              <w:rPr>
                <w:rFonts w:ascii="Gill Sans MT" w:hAnsi="Gill Sans MT"/>
                <w:b/>
                <w:color w:val="000000" w:themeColor="text1"/>
                <w:sz w:val="22"/>
                <w:szCs w:val="22"/>
                <w:lang w:val="en-AU"/>
              </w:rPr>
            </w:pPr>
            <w:r w:rsidRPr="005D0469">
              <w:rPr>
                <w:rFonts w:ascii="Gill Sans MT" w:hAnsi="Gill Sans MT"/>
                <w:b/>
                <w:color w:val="000000" w:themeColor="text1"/>
                <w:sz w:val="22"/>
                <w:szCs w:val="22"/>
                <w:lang w:val="en-AU"/>
              </w:rPr>
              <w:t>Homelessness Status</w:t>
            </w:r>
          </w:p>
        </w:tc>
        <w:tc>
          <w:tcPr>
            <w:tcW w:w="1276" w:type="dxa"/>
            <w:shd w:val="clear" w:color="auto" w:fill="BFBFBF" w:themeFill="background1" w:themeFillShade="BF"/>
          </w:tcPr>
          <w:p w14:paraId="37381714" w14:textId="77777777" w:rsidR="005D0469" w:rsidRPr="005D0469" w:rsidRDefault="005D0469" w:rsidP="005D0469">
            <w:pPr>
              <w:jc w:val="center"/>
              <w:rPr>
                <w:rFonts w:ascii="Gill Sans MT" w:hAnsi="Gill Sans MT"/>
                <w:b/>
                <w:color w:val="000000" w:themeColor="text1"/>
                <w:sz w:val="22"/>
                <w:szCs w:val="22"/>
                <w:lang w:val="en-AU"/>
              </w:rPr>
            </w:pPr>
            <w:r w:rsidRPr="005D0469">
              <w:rPr>
                <w:rFonts w:ascii="Gill Sans MT" w:hAnsi="Gill Sans MT"/>
                <w:b/>
                <w:color w:val="000000" w:themeColor="text1"/>
                <w:sz w:val="22"/>
                <w:szCs w:val="22"/>
                <w:lang w:val="en-AU"/>
              </w:rPr>
              <w:t>2017-18</w:t>
            </w:r>
          </w:p>
        </w:tc>
        <w:tc>
          <w:tcPr>
            <w:tcW w:w="1276" w:type="dxa"/>
            <w:shd w:val="clear" w:color="auto" w:fill="BFBFBF" w:themeFill="background1" w:themeFillShade="BF"/>
          </w:tcPr>
          <w:p w14:paraId="7DDA1ADA" w14:textId="77777777" w:rsidR="005D0469" w:rsidRPr="005D0469" w:rsidRDefault="005D0469" w:rsidP="005D0469">
            <w:pPr>
              <w:jc w:val="center"/>
              <w:rPr>
                <w:rFonts w:ascii="Gill Sans MT" w:hAnsi="Gill Sans MT"/>
                <w:b/>
                <w:color w:val="000000" w:themeColor="text1"/>
                <w:sz w:val="22"/>
                <w:szCs w:val="22"/>
                <w:lang w:val="en-AU"/>
              </w:rPr>
            </w:pPr>
            <w:r w:rsidRPr="005D0469">
              <w:rPr>
                <w:rFonts w:ascii="Gill Sans MT" w:hAnsi="Gill Sans MT"/>
                <w:b/>
                <w:color w:val="000000" w:themeColor="text1"/>
                <w:sz w:val="22"/>
                <w:szCs w:val="22"/>
                <w:lang w:val="en-AU"/>
              </w:rPr>
              <w:t>2018-19</w:t>
            </w:r>
          </w:p>
        </w:tc>
        <w:tc>
          <w:tcPr>
            <w:tcW w:w="1559" w:type="dxa"/>
            <w:shd w:val="clear" w:color="auto" w:fill="BFBFBF" w:themeFill="background1" w:themeFillShade="BF"/>
          </w:tcPr>
          <w:p w14:paraId="33450D10" w14:textId="77777777" w:rsidR="005D0469" w:rsidRPr="005D0469" w:rsidRDefault="005D0469" w:rsidP="005D0469">
            <w:pPr>
              <w:jc w:val="center"/>
              <w:rPr>
                <w:rFonts w:ascii="Gill Sans MT" w:hAnsi="Gill Sans MT"/>
                <w:b/>
                <w:color w:val="000000" w:themeColor="text1"/>
                <w:sz w:val="22"/>
                <w:szCs w:val="22"/>
                <w:lang w:val="en-AU"/>
              </w:rPr>
            </w:pPr>
            <w:r w:rsidRPr="005D0469">
              <w:rPr>
                <w:rFonts w:ascii="Gill Sans MT" w:hAnsi="Gill Sans MT"/>
                <w:b/>
                <w:color w:val="000000" w:themeColor="text1"/>
                <w:sz w:val="22"/>
                <w:szCs w:val="22"/>
                <w:lang w:val="en-AU"/>
              </w:rPr>
              <w:t>2019-20</w:t>
            </w:r>
          </w:p>
        </w:tc>
        <w:tc>
          <w:tcPr>
            <w:tcW w:w="1418" w:type="dxa"/>
            <w:shd w:val="clear" w:color="auto" w:fill="BFBFBF" w:themeFill="background1" w:themeFillShade="BF"/>
          </w:tcPr>
          <w:p w14:paraId="3836B7F8" w14:textId="1D4CD3F1" w:rsidR="005D0469" w:rsidRPr="005D0469" w:rsidRDefault="005D0469" w:rsidP="005D0469">
            <w:pPr>
              <w:jc w:val="center"/>
              <w:rPr>
                <w:rFonts w:ascii="Gill Sans MT" w:hAnsi="Gill Sans MT"/>
                <w:b/>
                <w:color w:val="000000" w:themeColor="text1"/>
                <w:sz w:val="22"/>
                <w:szCs w:val="22"/>
                <w:lang w:val="en-AU"/>
              </w:rPr>
            </w:pPr>
            <w:r w:rsidRPr="005D0469">
              <w:rPr>
                <w:rFonts w:ascii="Gill Sans MT" w:hAnsi="Gill Sans MT"/>
                <w:b/>
                <w:color w:val="000000" w:themeColor="text1"/>
                <w:sz w:val="22"/>
                <w:szCs w:val="22"/>
                <w:lang w:val="en-AU"/>
              </w:rPr>
              <w:t>2019-20</w:t>
            </w:r>
          </w:p>
        </w:tc>
      </w:tr>
      <w:tr w:rsidR="005D0469" w:rsidRPr="005D0469" w14:paraId="2252EEFA" w14:textId="263C74F8" w:rsidTr="005D0469">
        <w:tc>
          <w:tcPr>
            <w:tcW w:w="3397" w:type="dxa"/>
          </w:tcPr>
          <w:p w14:paraId="22F3A3AB" w14:textId="77777777" w:rsidR="005D0469" w:rsidRPr="005D0469" w:rsidRDefault="005D0469" w:rsidP="005D0469">
            <w:pP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t>Primary homeless:</w:t>
            </w:r>
          </w:p>
          <w:p w14:paraId="77DA9C47" w14:textId="77777777" w:rsidR="005D0469" w:rsidRPr="005D0469" w:rsidRDefault="005D0469" w:rsidP="005D0469">
            <w:pPr>
              <w:pStyle w:val="ListParagraph"/>
              <w:numPr>
                <w:ilvl w:val="0"/>
                <w:numId w:val="1"/>
              </w:numPr>
              <w:rPr>
                <w:rFonts w:ascii="Gill Sans MT" w:hAnsi="Gill Sans MT"/>
                <w:bCs/>
                <w:color w:val="000000" w:themeColor="text1"/>
                <w:szCs w:val="22"/>
              </w:rPr>
            </w:pPr>
            <w:r w:rsidRPr="005D0469">
              <w:rPr>
                <w:rFonts w:ascii="Gill Sans MT" w:hAnsi="Gill Sans MT"/>
                <w:bCs/>
                <w:color w:val="000000" w:themeColor="text1"/>
                <w:szCs w:val="22"/>
              </w:rPr>
              <w:t>No shelter or improvised/inadequate dwelling</w:t>
            </w:r>
          </w:p>
          <w:p w14:paraId="18AA42BC" w14:textId="77777777" w:rsidR="005D0469" w:rsidRPr="005D0469" w:rsidRDefault="005D0469" w:rsidP="005D0469">
            <w:pPr>
              <w:pStyle w:val="ListParagraph"/>
              <w:numPr>
                <w:ilvl w:val="0"/>
                <w:numId w:val="1"/>
              </w:numPr>
              <w:rPr>
                <w:rFonts w:ascii="Gill Sans MT" w:hAnsi="Gill Sans MT"/>
                <w:bCs/>
                <w:color w:val="000000" w:themeColor="text1"/>
                <w:szCs w:val="22"/>
              </w:rPr>
            </w:pPr>
            <w:r w:rsidRPr="005D0469">
              <w:rPr>
                <w:rFonts w:ascii="Gill Sans MT" w:hAnsi="Gill Sans MT"/>
                <w:bCs/>
                <w:color w:val="000000" w:themeColor="text1"/>
                <w:szCs w:val="22"/>
              </w:rPr>
              <w:lastRenderedPageBreak/>
              <w:t>Other homeless</w:t>
            </w:r>
          </w:p>
        </w:tc>
        <w:tc>
          <w:tcPr>
            <w:tcW w:w="1276" w:type="dxa"/>
          </w:tcPr>
          <w:p w14:paraId="56CEF259" w14:textId="77777777" w:rsidR="005D0469" w:rsidRPr="005D0469" w:rsidRDefault="005D0469" w:rsidP="005D0469">
            <w:pPr>
              <w:jc w:val="cente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lastRenderedPageBreak/>
              <w:t>50</w:t>
            </w:r>
          </w:p>
        </w:tc>
        <w:tc>
          <w:tcPr>
            <w:tcW w:w="1276" w:type="dxa"/>
          </w:tcPr>
          <w:p w14:paraId="5C34282E" w14:textId="77777777" w:rsidR="005D0469" w:rsidRPr="005D0469" w:rsidRDefault="005D0469" w:rsidP="005D0469">
            <w:pPr>
              <w:jc w:val="cente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t>83</w:t>
            </w:r>
          </w:p>
        </w:tc>
        <w:tc>
          <w:tcPr>
            <w:tcW w:w="1559" w:type="dxa"/>
          </w:tcPr>
          <w:p w14:paraId="57F66379" w14:textId="77777777" w:rsidR="005D0469" w:rsidRPr="005D0469" w:rsidRDefault="005D0469" w:rsidP="005D0469">
            <w:pPr>
              <w:jc w:val="cente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t>78</w:t>
            </w:r>
          </w:p>
        </w:tc>
        <w:tc>
          <w:tcPr>
            <w:tcW w:w="1418" w:type="dxa"/>
          </w:tcPr>
          <w:p w14:paraId="786019B1" w14:textId="440BAC26" w:rsidR="005D0469" w:rsidRPr="005D0469" w:rsidRDefault="005D0469" w:rsidP="005D0469">
            <w:pPr>
              <w:jc w:val="cente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t>82</w:t>
            </w:r>
          </w:p>
        </w:tc>
      </w:tr>
      <w:tr w:rsidR="005D0469" w:rsidRPr="005D0469" w14:paraId="618B9936" w14:textId="19C6A612" w:rsidTr="005D0469">
        <w:trPr>
          <w:trHeight w:val="77"/>
        </w:trPr>
        <w:tc>
          <w:tcPr>
            <w:tcW w:w="3397" w:type="dxa"/>
          </w:tcPr>
          <w:p w14:paraId="62A6B460" w14:textId="77777777" w:rsidR="005D0469" w:rsidRPr="005D0469" w:rsidRDefault="005D0469" w:rsidP="005D0469">
            <w:pP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t>Secure accommodation:</w:t>
            </w:r>
          </w:p>
          <w:p w14:paraId="3062B2A0" w14:textId="77777777" w:rsidR="005D0469" w:rsidRPr="005D0469" w:rsidRDefault="005D0469" w:rsidP="005D0469">
            <w:pPr>
              <w:pStyle w:val="ListParagraph"/>
              <w:numPr>
                <w:ilvl w:val="0"/>
                <w:numId w:val="1"/>
              </w:numPr>
              <w:rPr>
                <w:rFonts w:ascii="Gill Sans MT" w:hAnsi="Gill Sans MT"/>
                <w:bCs/>
                <w:color w:val="000000" w:themeColor="text1"/>
                <w:szCs w:val="22"/>
              </w:rPr>
            </w:pPr>
            <w:r w:rsidRPr="005D0469">
              <w:rPr>
                <w:rFonts w:ascii="Gill Sans MT" w:hAnsi="Gill Sans MT"/>
                <w:bCs/>
                <w:color w:val="000000" w:themeColor="text1"/>
                <w:szCs w:val="22"/>
              </w:rPr>
              <w:t>Public or community housing</w:t>
            </w:r>
          </w:p>
          <w:p w14:paraId="556B5F3E" w14:textId="77777777" w:rsidR="005D0469" w:rsidRPr="005D0469" w:rsidRDefault="005D0469" w:rsidP="005D0469">
            <w:pPr>
              <w:pStyle w:val="ListParagraph"/>
              <w:numPr>
                <w:ilvl w:val="0"/>
                <w:numId w:val="1"/>
              </w:numPr>
              <w:rPr>
                <w:rFonts w:ascii="Gill Sans MT" w:hAnsi="Gill Sans MT"/>
                <w:bCs/>
                <w:color w:val="000000" w:themeColor="text1"/>
                <w:szCs w:val="22"/>
              </w:rPr>
            </w:pPr>
            <w:r w:rsidRPr="005D0469">
              <w:rPr>
                <w:rFonts w:ascii="Gill Sans MT" w:hAnsi="Gill Sans MT"/>
                <w:bCs/>
                <w:color w:val="000000" w:themeColor="text1"/>
                <w:szCs w:val="22"/>
              </w:rPr>
              <w:t>Private or other housing</w:t>
            </w:r>
          </w:p>
        </w:tc>
        <w:tc>
          <w:tcPr>
            <w:tcW w:w="1276" w:type="dxa"/>
          </w:tcPr>
          <w:p w14:paraId="1331B36E" w14:textId="77777777" w:rsidR="005D0469" w:rsidRPr="005D0469" w:rsidRDefault="005D0469" w:rsidP="005D0469">
            <w:pPr>
              <w:jc w:val="cente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t>1 178</w:t>
            </w:r>
          </w:p>
        </w:tc>
        <w:tc>
          <w:tcPr>
            <w:tcW w:w="1276" w:type="dxa"/>
          </w:tcPr>
          <w:p w14:paraId="74BD37A2" w14:textId="77777777" w:rsidR="005D0469" w:rsidRPr="005D0469" w:rsidRDefault="005D0469" w:rsidP="005D0469">
            <w:pPr>
              <w:jc w:val="cente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t>725</w:t>
            </w:r>
          </w:p>
        </w:tc>
        <w:tc>
          <w:tcPr>
            <w:tcW w:w="1559" w:type="dxa"/>
          </w:tcPr>
          <w:p w14:paraId="1A0C364B" w14:textId="77777777" w:rsidR="005D0469" w:rsidRPr="005D0469" w:rsidRDefault="005D0469" w:rsidP="005D0469">
            <w:pPr>
              <w:jc w:val="cente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t>744</w:t>
            </w:r>
          </w:p>
        </w:tc>
        <w:tc>
          <w:tcPr>
            <w:tcW w:w="1418" w:type="dxa"/>
          </w:tcPr>
          <w:p w14:paraId="74DDC34C" w14:textId="2FAFBA50" w:rsidR="005D0469" w:rsidRPr="005D0469" w:rsidRDefault="005D0469" w:rsidP="005D0469">
            <w:pPr>
              <w:jc w:val="cente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t>691</w:t>
            </w:r>
          </w:p>
        </w:tc>
      </w:tr>
      <w:tr w:rsidR="005D0469" w:rsidRPr="005D0469" w14:paraId="3B09892D" w14:textId="7A9A34BD" w:rsidTr="005D0469">
        <w:trPr>
          <w:trHeight w:val="77"/>
        </w:trPr>
        <w:tc>
          <w:tcPr>
            <w:tcW w:w="3397" w:type="dxa"/>
          </w:tcPr>
          <w:p w14:paraId="43818EC6" w14:textId="77777777" w:rsidR="005D0469" w:rsidRPr="005D0469" w:rsidRDefault="005D0469" w:rsidP="005D0469">
            <w:pP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t>Other</w:t>
            </w:r>
          </w:p>
        </w:tc>
        <w:tc>
          <w:tcPr>
            <w:tcW w:w="1276" w:type="dxa"/>
          </w:tcPr>
          <w:p w14:paraId="5C4F19D2" w14:textId="77777777" w:rsidR="005D0469" w:rsidRPr="005D0469" w:rsidRDefault="005D0469" w:rsidP="005D0469">
            <w:pPr>
              <w:jc w:val="cente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t>362</w:t>
            </w:r>
          </w:p>
        </w:tc>
        <w:tc>
          <w:tcPr>
            <w:tcW w:w="1276" w:type="dxa"/>
          </w:tcPr>
          <w:p w14:paraId="619E6999" w14:textId="77777777" w:rsidR="005D0469" w:rsidRPr="005D0469" w:rsidRDefault="005D0469" w:rsidP="005D0469">
            <w:pPr>
              <w:jc w:val="cente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t>745</w:t>
            </w:r>
          </w:p>
        </w:tc>
        <w:tc>
          <w:tcPr>
            <w:tcW w:w="1559" w:type="dxa"/>
          </w:tcPr>
          <w:p w14:paraId="15460A65" w14:textId="77777777" w:rsidR="005D0469" w:rsidRPr="005D0469" w:rsidRDefault="005D0469" w:rsidP="005D0469">
            <w:pPr>
              <w:jc w:val="cente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t>738</w:t>
            </w:r>
          </w:p>
        </w:tc>
        <w:tc>
          <w:tcPr>
            <w:tcW w:w="1418" w:type="dxa"/>
          </w:tcPr>
          <w:p w14:paraId="08E639DD" w14:textId="62228C47" w:rsidR="005D0469" w:rsidRPr="005D0469" w:rsidRDefault="005D0469" w:rsidP="005D0469">
            <w:pPr>
              <w:jc w:val="center"/>
              <w:rPr>
                <w:rFonts w:ascii="Gill Sans MT" w:hAnsi="Gill Sans MT"/>
                <w:bCs/>
                <w:color w:val="000000" w:themeColor="text1"/>
                <w:sz w:val="22"/>
                <w:szCs w:val="22"/>
                <w:lang w:val="en-AU"/>
              </w:rPr>
            </w:pPr>
            <w:r w:rsidRPr="005D0469">
              <w:rPr>
                <w:rFonts w:ascii="Gill Sans MT" w:hAnsi="Gill Sans MT"/>
                <w:bCs/>
                <w:color w:val="000000" w:themeColor="text1"/>
                <w:sz w:val="22"/>
                <w:szCs w:val="22"/>
                <w:lang w:val="en-AU"/>
              </w:rPr>
              <w:t>775</w:t>
            </w:r>
          </w:p>
        </w:tc>
      </w:tr>
      <w:tr w:rsidR="005D0469" w:rsidRPr="005D0469" w14:paraId="4449FC72" w14:textId="034688DD" w:rsidTr="005D0469">
        <w:tc>
          <w:tcPr>
            <w:tcW w:w="3397" w:type="dxa"/>
            <w:shd w:val="clear" w:color="auto" w:fill="BFBFBF" w:themeFill="background1" w:themeFillShade="BF"/>
          </w:tcPr>
          <w:p w14:paraId="77E05DEF" w14:textId="77777777" w:rsidR="005D0469" w:rsidRPr="005D0469" w:rsidRDefault="005D0469" w:rsidP="005D0469">
            <w:pPr>
              <w:rPr>
                <w:rFonts w:ascii="Gill Sans MT" w:hAnsi="Gill Sans MT"/>
                <w:b/>
                <w:color w:val="000000" w:themeColor="text1"/>
                <w:sz w:val="22"/>
                <w:szCs w:val="22"/>
                <w:lang w:val="en-AU"/>
              </w:rPr>
            </w:pPr>
            <w:r w:rsidRPr="005D0469">
              <w:rPr>
                <w:rFonts w:ascii="Gill Sans MT" w:hAnsi="Gill Sans MT"/>
                <w:b/>
                <w:color w:val="000000" w:themeColor="text1"/>
                <w:sz w:val="22"/>
                <w:szCs w:val="22"/>
                <w:lang w:val="en-AU"/>
              </w:rPr>
              <w:t>Total</w:t>
            </w:r>
          </w:p>
        </w:tc>
        <w:tc>
          <w:tcPr>
            <w:tcW w:w="1276" w:type="dxa"/>
            <w:shd w:val="clear" w:color="auto" w:fill="BFBFBF" w:themeFill="background1" w:themeFillShade="BF"/>
          </w:tcPr>
          <w:p w14:paraId="75808AD0" w14:textId="77777777" w:rsidR="005D0469" w:rsidRPr="005D0469" w:rsidRDefault="005D0469" w:rsidP="005D0469">
            <w:pPr>
              <w:jc w:val="center"/>
              <w:rPr>
                <w:rFonts w:ascii="Gill Sans MT" w:hAnsi="Gill Sans MT"/>
                <w:b/>
                <w:color w:val="000000" w:themeColor="text1"/>
                <w:sz w:val="22"/>
                <w:szCs w:val="22"/>
                <w:lang w:val="en-AU"/>
              </w:rPr>
            </w:pPr>
            <w:r w:rsidRPr="005D0469">
              <w:rPr>
                <w:rFonts w:ascii="Gill Sans MT" w:hAnsi="Gill Sans MT"/>
                <w:b/>
                <w:color w:val="000000" w:themeColor="text1"/>
                <w:sz w:val="22"/>
                <w:szCs w:val="22"/>
                <w:lang w:val="en-AU"/>
              </w:rPr>
              <w:t>1 590</w:t>
            </w:r>
          </w:p>
        </w:tc>
        <w:tc>
          <w:tcPr>
            <w:tcW w:w="1276" w:type="dxa"/>
            <w:shd w:val="clear" w:color="auto" w:fill="BFBFBF" w:themeFill="background1" w:themeFillShade="BF"/>
          </w:tcPr>
          <w:p w14:paraId="5F5A4A77" w14:textId="77777777" w:rsidR="005D0469" w:rsidRPr="005D0469" w:rsidRDefault="005D0469" w:rsidP="005D0469">
            <w:pPr>
              <w:jc w:val="center"/>
              <w:rPr>
                <w:rFonts w:ascii="Gill Sans MT" w:hAnsi="Gill Sans MT"/>
                <w:b/>
                <w:color w:val="000000" w:themeColor="text1"/>
                <w:sz w:val="22"/>
                <w:szCs w:val="22"/>
                <w:lang w:val="en-AU"/>
              </w:rPr>
            </w:pPr>
            <w:r w:rsidRPr="005D0469">
              <w:rPr>
                <w:rFonts w:ascii="Gill Sans MT" w:hAnsi="Gill Sans MT"/>
                <w:b/>
                <w:color w:val="000000" w:themeColor="text1"/>
                <w:sz w:val="22"/>
                <w:szCs w:val="22"/>
                <w:lang w:val="en-AU"/>
              </w:rPr>
              <w:t>1 553</w:t>
            </w:r>
          </w:p>
        </w:tc>
        <w:tc>
          <w:tcPr>
            <w:tcW w:w="1559" w:type="dxa"/>
            <w:shd w:val="clear" w:color="auto" w:fill="BFBFBF" w:themeFill="background1" w:themeFillShade="BF"/>
          </w:tcPr>
          <w:p w14:paraId="25E7AFA4" w14:textId="77777777" w:rsidR="005D0469" w:rsidRPr="005D0469" w:rsidRDefault="005D0469" w:rsidP="005D0469">
            <w:pPr>
              <w:jc w:val="center"/>
              <w:rPr>
                <w:rFonts w:ascii="Gill Sans MT" w:hAnsi="Gill Sans MT"/>
                <w:b/>
                <w:color w:val="000000" w:themeColor="text1"/>
                <w:sz w:val="22"/>
                <w:szCs w:val="22"/>
                <w:lang w:val="en-AU"/>
              </w:rPr>
            </w:pPr>
            <w:r w:rsidRPr="005D0469">
              <w:rPr>
                <w:rFonts w:ascii="Gill Sans MT" w:hAnsi="Gill Sans MT"/>
                <w:b/>
                <w:color w:val="000000" w:themeColor="text1"/>
                <w:sz w:val="22"/>
                <w:szCs w:val="22"/>
                <w:lang w:val="en-AU"/>
              </w:rPr>
              <w:t>1 560</w:t>
            </w:r>
          </w:p>
        </w:tc>
        <w:tc>
          <w:tcPr>
            <w:tcW w:w="1418" w:type="dxa"/>
            <w:shd w:val="clear" w:color="auto" w:fill="BFBFBF" w:themeFill="background1" w:themeFillShade="BF"/>
          </w:tcPr>
          <w:p w14:paraId="43FD34E4" w14:textId="33EB98D1" w:rsidR="005D0469" w:rsidRPr="005D0469" w:rsidRDefault="005D0469" w:rsidP="005D0469">
            <w:pPr>
              <w:jc w:val="center"/>
              <w:rPr>
                <w:rFonts w:ascii="Gill Sans MT" w:hAnsi="Gill Sans MT"/>
                <w:b/>
                <w:color w:val="000000" w:themeColor="text1"/>
                <w:sz w:val="22"/>
                <w:szCs w:val="22"/>
                <w:lang w:val="en-AU"/>
              </w:rPr>
            </w:pPr>
            <w:r w:rsidRPr="005D0469">
              <w:rPr>
                <w:rFonts w:ascii="Gill Sans MT" w:hAnsi="Gill Sans MT"/>
                <w:b/>
                <w:color w:val="000000" w:themeColor="text1"/>
                <w:sz w:val="22"/>
                <w:szCs w:val="22"/>
                <w:lang w:val="en-AU"/>
              </w:rPr>
              <w:t>1 548</w:t>
            </w:r>
          </w:p>
        </w:tc>
      </w:tr>
    </w:tbl>
    <w:p w14:paraId="65668165" w14:textId="77777777" w:rsidR="005C7524" w:rsidRDefault="005C7524" w:rsidP="005C7524">
      <w:pPr>
        <w:pStyle w:val="xmsonormal"/>
        <w:shd w:val="clear" w:color="auto" w:fill="FFFFFF"/>
        <w:spacing w:before="0" w:beforeAutospacing="0" w:after="0" w:afterAutospacing="0"/>
        <w:rPr>
          <w:rFonts w:ascii="Cambria" w:hAnsi="Cambria"/>
          <w:color w:val="000000"/>
          <w:bdr w:val="none" w:sz="0" w:space="0" w:color="auto" w:frame="1"/>
        </w:rPr>
      </w:pPr>
    </w:p>
    <w:p w14:paraId="4989A85C" w14:textId="5742FD13" w:rsidR="00B57722" w:rsidRDefault="005C7524" w:rsidP="005C7524">
      <w:pPr>
        <w:pStyle w:val="xmsonormal"/>
        <w:shd w:val="clear" w:color="auto" w:fill="FFFFFF"/>
        <w:spacing w:before="0" w:beforeAutospacing="0" w:after="0" w:afterAutospacing="0"/>
        <w:rPr>
          <w:rFonts w:ascii="Cambria" w:hAnsi="Cambria"/>
          <w:color w:val="000000"/>
          <w:bdr w:val="none" w:sz="0" w:space="0" w:color="auto" w:frame="1"/>
        </w:rPr>
      </w:pPr>
      <w:r w:rsidRPr="0026470F">
        <w:rPr>
          <w:rFonts w:ascii="Cambria" w:hAnsi="Cambria"/>
          <w:color w:val="000000"/>
          <w:bdr w:val="none" w:sz="0" w:space="0" w:color="auto" w:frame="1"/>
        </w:rPr>
        <w:t>It is imperative that a whole of Government approach is taken to addressing family</w:t>
      </w:r>
      <w:r>
        <w:rPr>
          <w:rFonts w:ascii="Cambria" w:hAnsi="Cambria"/>
          <w:color w:val="000000"/>
          <w:bdr w:val="none" w:sz="0" w:space="0" w:color="auto" w:frame="1"/>
        </w:rPr>
        <w:t xml:space="preserve"> and domestic violence including investing in transitional housing a</w:t>
      </w:r>
      <w:r w:rsidR="007631D5">
        <w:rPr>
          <w:rFonts w:ascii="Cambria" w:hAnsi="Cambria"/>
          <w:color w:val="000000"/>
          <w:bdr w:val="none" w:sz="0" w:space="0" w:color="auto" w:frame="1"/>
        </w:rPr>
        <w:t>nd</w:t>
      </w:r>
      <w:r>
        <w:rPr>
          <w:rFonts w:ascii="Cambria" w:hAnsi="Cambria"/>
          <w:color w:val="000000"/>
          <w:bdr w:val="none" w:sz="0" w:space="0" w:color="auto" w:frame="1"/>
        </w:rPr>
        <w:t xml:space="preserve"> community education as well as legislative reform. </w:t>
      </w:r>
    </w:p>
    <w:p w14:paraId="43DE27D0" w14:textId="3CAA368C" w:rsidR="00B57722" w:rsidRDefault="00B57722" w:rsidP="005C7524">
      <w:pPr>
        <w:pStyle w:val="xmsonormal"/>
        <w:shd w:val="clear" w:color="auto" w:fill="FFFFFF"/>
        <w:spacing w:before="0" w:beforeAutospacing="0" w:after="0" w:afterAutospacing="0"/>
        <w:rPr>
          <w:rFonts w:ascii="Cambria" w:hAnsi="Cambria"/>
          <w:color w:val="000000"/>
          <w:bdr w:val="none" w:sz="0" w:space="0" w:color="auto" w:frame="1"/>
        </w:rPr>
      </w:pPr>
    </w:p>
    <w:p w14:paraId="68FB667C" w14:textId="17E2668D" w:rsidR="00B57722" w:rsidRPr="001D76C6" w:rsidRDefault="00B57722" w:rsidP="005C7524">
      <w:pPr>
        <w:pStyle w:val="xmsonormal"/>
        <w:shd w:val="clear" w:color="auto" w:fill="FFFFFF"/>
        <w:spacing w:before="0" w:beforeAutospacing="0" w:after="0" w:afterAutospacing="0"/>
        <w:rPr>
          <w:rFonts w:ascii="Cambria" w:hAnsi="Cambria"/>
          <w:b/>
          <w:bCs/>
          <w:i/>
          <w:iCs/>
          <w:color w:val="000000"/>
          <w:bdr w:val="none" w:sz="0" w:space="0" w:color="auto" w:frame="1"/>
        </w:rPr>
      </w:pPr>
      <w:r w:rsidRPr="001D76C6">
        <w:rPr>
          <w:rFonts w:ascii="Cambria" w:hAnsi="Cambria"/>
          <w:b/>
          <w:bCs/>
          <w:i/>
          <w:iCs/>
          <w:color w:val="000000"/>
          <w:bdr w:val="none" w:sz="0" w:space="0" w:color="auto" w:frame="1"/>
        </w:rPr>
        <w:t>Non-fatal strangulation</w:t>
      </w:r>
      <w:r w:rsidR="001D76C6" w:rsidRPr="001D76C6">
        <w:rPr>
          <w:rFonts w:ascii="Cambria" w:hAnsi="Cambria"/>
          <w:b/>
          <w:bCs/>
          <w:i/>
          <w:iCs/>
          <w:color w:val="000000"/>
          <w:bdr w:val="none" w:sz="0" w:space="0" w:color="auto" w:frame="1"/>
        </w:rPr>
        <w:t xml:space="preserve"> – The Facts</w:t>
      </w:r>
    </w:p>
    <w:p w14:paraId="638A24B6" w14:textId="1517D84D" w:rsidR="00B57722" w:rsidRDefault="00B57722" w:rsidP="00B57722">
      <w:pPr>
        <w:pStyle w:val="NoSpacing"/>
        <w:jc w:val="both"/>
        <w:rPr>
          <w:rFonts w:ascii="Cambria" w:hAnsi="Cambria" w:cs="Calibri"/>
        </w:rPr>
      </w:pPr>
      <w:r>
        <w:rPr>
          <w:rFonts w:ascii="Cambria" w:hAnsi="Cambria" w:cs="Calibri"/>
        </w:rPr>
        <w:t>I</w:t>
      </w:r>
      <w:r w:rsidRPr="006D4708">
        <w:rPr>
          <w:rFonts w:ascii="Cambria" w:hAnsi="Cambria" w:cs="Calibri"/>
        </w:rPr>
        <w:t xml:space="preserve">nternational research </w:t>
      </w:r>
      <w:r>
        <w:rPr>
          <w:rFonts w:ascii="Cambria" w:hAnsi="Cambria" w:cs="Calibri"/>
        </w:rPr>
        <w:t>has found that</w:t>
      </w:r>
      <w:r w:rsidRPr="006D4708">
        <w:rPr>
          <w:rFonts w:ascii="Cambria" w:hAnsi="Cambria" w:cs="Calibri"/>
        </w:rPr>
        <w:t xml:space="preserve"> non-fatal strangulation is a relatively common form of abuse among women who experience intimate partner violence with studies finding that around 10 per cent of women who experience intimate partner violence have </w:t>
      </w:r>
      <w:r>
        <w:rPr>
          <w:rFonts w:ascii="Cambria" w:hAnsi="Cambria" w:cs="Calibri"/>
        </w:rPr>
        <w:t xml:space="preserve">also </w:t>
      </w:r>
      <w:r w:rsidRPr="006D4708">
        <w:rPr>
          <w:rFonts w:ascii="Cambria" w:hAnsi="Cambria" w:cs="Calibri"/>
        </w:rPr>
        <w:t>experienced non-fatal strangulation.</w:t>
      </w:r>
      <w:r w:rsidRPr="006D4708">
        <w:rPr>
          <w:rStyle w:val="FootnoteReference"/>
          <w:rFonts w:ascii="Cambria" w:hAnsi="Cambria" w:cs="Calibri"/>
        </w:rPr>
        <w:footnoteReference w:id="6"/>
      </w:r>
      <w:r w:rsidRPr="006D4708">
        <w:rPr>
          <w:rFonts w:ascii="Cambria" w:hAnsi="Cambria" w:cs="Calibri"/>
        </w:rPr>
        <w:t xml:space="preserve"> </w:t>
      </w:r>
      <w:r w:rsidR="003A5881">
        <w:rPr>
          <w:rFonts w:ascii="Cambria" w:hAnsi="Cambria" w:cs="Calibri"/>
        </w:rPr>
        <w:t>For example, i</w:t>
      </w:r>
      <w:r w:rsidRPr="006D4708">
        <w:rPr>
          <w:rFonts w:ascii="Cambria" w:hAnsi="Cambria" w:cs="Calibri"/>
        </w:rPr>
        <w:t>n a study of 656 protection order applications submitted to a Queensland court between 2008-10 the authors found that 12 per cent of women who applied for a protection order alleged an incident of</w:t>
      </w:r>
      <w:r>
        <w:rPr>
          <w:rFonts w:ascii="Cambria" w:hAnsi="Cambria" w:cs="Calibri"/>
        </w:rPr>
        <w:t xml:space="preserve"> non-fatal strangulation</w:t>
      </w:r>
      <w:r w:rsidRPr="006D4708">
        <w:rPr>
          <w:rFonts w:ascii="Cambria" w:hAnsi="Cambria" w:cs="Calibri"/>
        </w:rPr>
        <w:t xml:space="preserve"> in their application.</w:t>
      </w:r>
      <w:r w:rsidRPr="006D4708">
        <w:rPr>
          <w:rStyle w:val="FootnoteReference"/>
          <w:rFonts w:ascii="Cambria" w:hAnsi="Cambria" w:cs="Calibri"/>
        </w:rPr>
        <w:footnoteReference w:id="7"/>
      </w:r>
      <w:r>
        <w:rPr>
          <w:rFonts w:ascii="Cambria" w:hAnsi="Cambria" w:cs="Calibri"/>
        </w:rPr>
        <w:t xml:space="preserve"> </w:t>
      </w:r>
    </w:p>
    <w:p w14:paraId="45288DB3" w14:textId="3FD0DEC0" w:rsidR="00F66139" w:rsidRDefault="00F66139" w:rsidP="00B57722">
      <w:pPr>
        <w:pStyle w:val="NoSpacing"/>
        <w:jc w:val="both"/>
        <w:rPr>
          <w:rFonts w:ascii="Cambria" w:hAnsi="Cambria" w:cs="Calibri"/>
        </w:rPr>
      </w:pPr>
    </w:p>
    <w:p w14:paraId="79C9ADF4" w14:textId="5CAA9300" w:rsidR="007631D5" w:rsidRDefault="007631D5" w:rsidP="007631D5">
      <w:pPr>
        <w:pStyle w:val="NoSpacing"/>
        <w:jc w:val="both"/>
        <w:rPr>
          <w:rFonts w:ascii="Cambria" w:hAnsi="Cambria" w:cs="Calibri"/>
        </w:rPr>
      </w:pPr>
      <w:r w:rsidRPr="006D4708">
        <w:rPr>
          <w:rFonts w:ascii="Cambria" w:hAnsi="Cambria"/>
        </w:rPr>
        <w:t>Non-fatal strangulation</w:t>
      </w:r>
      <w:r w:rsidRPr="006D4708">
        <w:rPr>
          <w:rFonts w:ascii="Cambria" w:hAnsi="Cambria" w:cs="Calibri"/>
        </w:rPr>
        <w:t xml:space="preserve"> is associated with many forms of non-fatal injury</w:t>
      </w:r>
      <w:r>
        <w:rPr>
          <w:rFonts w:ascii="Cambria" w:hAnsi="Cambria" w:cs="Calibri"/>
        </w:rPr>
        <w:t xml:space="preserve"> </w:t>
      </w:r>
      <w:r w:rsidRPr="006D4708">
        <w:rPr>
          <w:rFonts w:ascii="Cambria" w:hAnsi="Cambria" w:cs="Calibri"/>
        </w:rPr>
        <w:t>including</w:t>
      </w:r>
      <w:r>
        <w:rPr>
          <w:rFonts w:ascii="Cambria" w:hAnsi="Cambria" w:cs="Calibri"/>
        </w:rPr>
        <w:t xml:space="preserve"> </w:t>
      </w:r>
      <w:r w:rsidRPr="006D4708">
        <w:rPr>
          <w:rFonts w:ascii="Cambria" w:hAnsi="Cambria" w:cs="Calibri"/>
        </w:rPr>
        <w:t>difficulty swallowing,</w:t>
      </w:r>
      <w:r>
        <w:rPr>
          <w:rFonts w:ascii="Cambria" w:hAnsi="Cambria" w:cs="Calibri"/>
        </w:rPr>
        <w:t xml:space="preserve"> </w:t>
      </w:r>
      <w:r w:rsidRPr="006D4708">
        <w:rPr>
          <w:rFonts w:ascii="Cambria" w:hAnsi="Cambria" w:cs="Calibri"/>
        </w:rPr>
        <w:t>bruising</w:t>
      </w:r>
      <w:r>
        <w:rPr>
          <w:rFonts w:ascii="Cambria" w:hAnsi="Cambria" w:cs="Calibri"/>
        </w:rPr>
        <w:t xml:space="preserve">, </w:t>
      </w:r>
      <w:r w:rsidRPr="006D4708">
        <w:rPr>
          <w:rFonts w:ascii="Cambria" w:hAnsi="Cambria" w:cs="Calibri"/>
        </w:rPr>
        <w:t>miscarriage</w:t>
      </w:r>
      <w:r>
        <w:rPr>
          <w:rFonts w:ascii="Cambria" w:hAnsi="Cambria" w:cs="Calibri"/>
        </w:rPr>
        <w:t xml:space="preserve"> and voice changes and in more serious cases can cause oxygen deficiency which may lead to brain injury</w:t>
      </w:r>
      <w:r w:rsidRPr="006D4708">
        <w:rPr>
          <w:rFonts w:ascii="Cambria" w:hAnsi="Cambria" w:cs="Calibri"/>
        </w:rPr>
        <w:t>.</w:t>
      </w:r>
      <w:r>
        <w:rPr>
          <w:rStyle w:val="FootnoteReference"/>
          <w:rFonts w:ascii="Cambria" w:hAnsi="Cambria" w:cs="Calibri"/>
        </w:rPr>
        <w:footnoteReference w:id="8"/>
      </w:r>
      <w:r w:rsidRPr="006D4708">
        <w:rPr>
          <w:rFonts w:ascii="Cambria" w:hAnsi="Cambria" w:cs="Calibri"/>
        </w:rPr>
        <w:t xml:space="preserve"> </w:t>
      </w:r>
    </w:p>
    <w:p w14:paraId="7EF78C2E" w14:textId="77777777" w:rsidR="007631D5" w:rsidRDefault="007631D5" w:rsidP="00B57722">
      <w:pPr>
        <w:pStyle w:val="NoSpacing"/>
        <w:jc w:val="both"/>
        <w:rPr>
          <w:rFonts w:ascii="Cambria" w:hAnsi="Cambria" w:cs="Calibri"/>
        </w:rPr>
      </w:pPr>
    </w:p>
    <w:p w14:paraId="4F1AF953" w14:textId="3B531FCB" w:rsidR="00B57722" w:rsidRDefault="00F66139" w:rsidP="00B57722">
      <w:pPr>
        <w:pStyle w:val="NoSpacing"/>
        <w:jc w:val="both"/>
        <w:rPr>
          <w:rFonts w:ascii="Cambria" w:hAnsi="Cambria" w:cs="Calibri"/>
        </w:rPr>
      </w:pPr>
      <w:r>
        <w:rPr>
          <w:rFonts w:ascii="Cambria" w:hAnsi="Cambria" w:cs="Calibri"/>
        </w:rPr>
        <w:t xml:space="preserve">The research demonstrates the inherent danger of strangulation and its potential for significant harm. Strangulation </w:t>
      </w:r>
      <w:r w:rsidR="003A5881">
        <w:rPr>
          <w:rFonts w:ascii="Cambria" w:hAnsi="Cambria" w:cs="Calibri"/>
        </w:rPr>
        <w:t>may</w:t>
      </w:r>
      <w:r>
        <w:rPr>
          <w:rFonts w:ascii="Cambria" w:hAnsi="Cambria" w:cs="Calibri"/>
        </w:rPr>
        <w:t xml:space="preserve"> be fatal, causing unconsciousness within seconds and death within minutes. </w:t>
      </w:r>
      <w:r w:rsidR="00B57722" w:rsidRPr="00B57722">
        <w:rPr>
          <w:rFonts w:ascii="Cambria" w:hAnsi="Cambria" w:cs="Calibri"/>
        </w:rPr>
        <w:t xml:space="preserve">Tragically, survivors of non-fatal strangulation </w:t>
      </w:r>
      <w:r w:rsidR="00B57722">
        <w:rPr>
          <w:rFonts w:ascii="Cambria" w:hAnsi="Cambria" w:cs="Calibri"/>
        </w:rPr>
        <w:t>a</w:t>
      </w:r>
      <w:r w:rsidR="00B57722" w:rsidRPr="00B57722">
        <w:rPr>
          <w:rFonts w:ascii="Cambria" w:hAnsi="Cambria" w:cs="Calibri"/>
        </w:rPr>
        <w:t>re over</w:t>
      </w:r>
      <w:r w:rsidR="00926FCB">
        <w:rPr>
          <w:rFonts w:ascii="Cambria" w:hAnsi="Cambria" w:cs="Calibri"/>
        </w:rPr>
        <w:t xml:space="preserve"> </w:t>
      </w:r>
      <w:r w:rsidR="00B57722" w:rsidRPr="00B57722">
        <w:rPr>
          <w:rFonts w:ascii="Cambria" w:hAnsi="Cambria" w:cs="Calibri"/>
        </w:rPr>
        <w:t>seven times more likely to be a murder victim or victim of serious injury in the future</w:t>
      </w:r>
      <w:r w:rsidR="00B57722" w:rsidRPr="00B57722">
        <w:rPr>
          <w:rStyle w:val="FootnoteReference"/>
          <w:rFonts w:ascii="Cambria" w:hAnsi="Cambria" w:cs="Calibri"/>
        </w:rPr>
        <w:footnoteReference w:id="9"/>
      </w:r>
      <w:r w:rsidR="00B57722">
        <w:rPr>
          <w:rFonts w:ascii="Cambria" w:hAnsi="Cambria" w:cs="Calibri"/>
        </w:rPr>
        <w:t xml:space="preserve"> with </w:t>
      </w:r>
      <w:r w:rsidR="007631D5">
        <w:rPr>
          <w:rFonts w:ascii="Cambria" w:hAnsi="Cambria" w:cs="Calibri"/>
        </w:rPr>
        <w:t xml:space="preserve">the Australian Institute of Criminology recently reporting that </w:t>
      </w:r>
      <w:r w:rsidR="00B57722" w:rsidRPr="00B57722">
        <w:rPr>
          <w:rFonts w:ascii="Cambria" w:hAnsi="Cambria" w:cs="Calibri"/>
        </w:rPr>
        <w:t>that</w:t>
      </w:r>
      <w:r w:rsidR="007631D5">
        <w:rPr>
          <w:rFonts w:ascii="Cambria" w:hAnsi="Cambria" w:cs="Calibri"/>
        </w:rPr>
        <w:t xml:space="preserve"> </w:t>
      </w:r>
      <w:r w:rsidR="00B57722" w:rsidRPr="00B57722">
        <w:rPr>
          <w:rFonts w:ascii="Cambria" w:hAnsi="Cambria" w:cs="Calibri"/>
        </w:rPr>
        <w:t xml:space="preserve">around </w:t>
      </w:r>
      <w:r w:rsidR="007631D5">
        <w:rPr>
          <w:rFonts w:ascii="Cambria" w:hAnsi="Cambria" w:cs="Calibri"/>
        </w:rPr>
        <w:t>9</w:t>
      </w:r>
      <w:r w:rsidR="00B57722" w:rsidRPr="00B57722">
        <w:rPr>
          <w:rFonts w:ascii="Cambria" w:hAnsi="Cambria" w:cs="Calibri"/>
        </w:rPr>
        <w:t xml:space="preserve"> per cent of family homicide deaths of women </w:t>
      </w:r>
      <w:r w:rsidR="007631D5">
        <w:rPr>
          <w:rFonts w:ascii="Cambria" w:hAnsi="Cambria" w:cs="Calibri"/>
        </w:rPr>
        <w:t xml:space="preserve">in Australia </w:t>
      </w:r>
      <w:r w:rsidR="00B57722" w:rsidRPr="00B57722">
        <w:rPr>
          <w:rFonts w:ascii="Cambria" w:hAnsi="Cambria" w:cs="Calibri"/>
        </w:rPr>
        <w:t>are caused by strangulation and or suffocation.</w:t>
      </w:r>
      <w:r w:rsidR="00B57722" w:rsidRPr="00B57722">
        <w:rPr>
          <w:rStyle w:val="FootnoteReference"/>
          <w:rFonts w:ascii="Cambria" w:hAnsi="Cambria" w:cs="Calibri"/>
        </w:rPr>
        <w:footnoteReference w:id="10"/>
      </w:r>
    </w:p>
    <w:p w14:paraId="0BDA6D69" w14:textId="05515E76" w:rsidR="00926FCB" w:rsidRDefault="00926FCB" w:rsidP="00B57722">
      <w:pPr>
        <w:pStyle w:val="NoSpacing"/>
        <w:jc w:val="both"/>
        <w:rPr>
          <w:rFonts w:ascii="Cambria" w:hAnsi="Cambria" w:cs="Calibri"/>
        </w:rPr>
      </w:pPr>
    </w:p>
    <w:p w14:paraId="1DA19801" w14:textId="5B512E9C" w:rsidR="007631D5" w:rsidRDefault="007631D5" w:rsidP="00B57722">
      <w:pPr>
        <w:pStyle w:val="NoSpacing"/>
        <w:jc w:val="both"/>
        <w:rPr>
          <w:rFonts w:ascii="Cambria" w:hAnsi="Cambria" w:cs="Calibri"/>
        </w:rPr>
      </w:pPr>
    </w:p>
    <w:p w14:paraId="5476051E" w14:textId="4EAF1FB2" w:rsidR="007631D5" w:rsidRDefault="007631D5" w:rsidP="00B57722">
      <w:pPr>
        <w:pStyle w:val="NoSpacing"/>
        <w:jc w:val="both"/>
        <w:rPr>
          <w:rFonts w:ascii="Cambria" w:hAnsi="Cambria" w:cs="Calibri"/>
        </w:rPr>
      </w:pPr>
    </w:p>
    <w:p w14:paraId="2F5FDAAA" w14:textId="77777777" w:rsidR="007631D5" w:rsidRDefault="007631D5" w:rsidP="00B57722">
      <w:pPr>
        <w:pStyle w:val="NoSpacing"/>
        <w:jc w:val="both"/>
        <w:rPr>
          <w:rFonts w:ascii="Cambria" w:hAnsi="Cambria"/>
          <w:b/>
          <w:bCs/>
        </w:rPr>
      </w:pPr>
    </w:p>
    <w:p w14:paraId="7E5CA3A0" w14:textId="64D18F77" w:rsidR="00B57722" w:rsidRPr="00B57722" w:rsidRDefault="00B57722" w:rsidP="00B57722">
      <w:pPr>
        <w:pStyle w:val="NoSpacing"/>
        <w:jc w:val="both"/>
        <w:rPr>
          <w:rFonts w:ascii="Cambria" w:hAnsi="Cambria"/>
          <w:b/>
          <w:bCs/>
        </w:rPr>
      </w:pPr>
      <w:r w:rsidRPr="00B57722">
        <w:rPr>
          <w:rFonts w:ascii="Cambria" w:hAnsi="Cambria"/>
          <w:b/>
          <w:bCs/>
        </w:rPr>
        <w:lastRenderedPageBreak/>
        <w:t>Non-fatal strangulation and the law</w:t>
      </w:r>
    </w:p>
    <w:p w14:paraId="0E41DFD4" w14:textId="3328A754" w:rsidR="00694349" w:rsidRDefault="00926FCB" w:rsidP="00B57722">
      <w:pPr>
        <w:jc w:val="both"/>
        <w:rPr>
          <w:rFonts w:ascii="Cambria" w:hAnsi="Cambria"/>
          <w:lang w:val="en-AU"/>
        </w:rPr>
      </w:pPr>
      <w:r>
        <w:rPr>
          <w:rFonts w:ascii="Cambria" w:hAnsi="Cambria"/>
          <w:lang w:val="en-AU"/>
        </w:rPr>
        <w:t xml:space="preserve">In the </w:t>
      </w:r>
      <w:r w:rsidR="007631D5">
        <w:rPr>
          <w:rFonts w:ascii="Cambria" w:hAnsi="Cambria"/>
          <w:lang w:val="en-AU"/>
        </w:rPr>
        <w:t xml:space="preserve">Sentencing Advisory Council’s </w:t>
      </w:r>
      <w:r w:rsidR="00B57722">
        <w:rPr>
          <w:rFonts w:ascii="Cambria" w:hAnsi="Cambria"/>
          <w:lang w:val="en-AU"/>
        </w:rPr>
        <w:t xml:space="preserve">recently released research paper </w:t>
      </w:r>
      <w:r w:rsidR="00B57722" w:rsidRPr="00B57722">
        <w:rPr>
          <w:rFonts w:ascii="Cambria" w:hAnsi="Cambria"/>
          <w:i/>
          <w:iCs/>
          <w:lang w:val="en-AU"/>
        </w:rPr>
        <w:t>Sentencing for non-fatal strangulation</w:t>
      </w:r>
      <w:r w:rsidR="00B57722">
        <w:rPr>
          <w:rFonts w:ascii="Cambria" w:hAnsi="Cambria"/>
          <w:lang w:val="en-AU"/>
        </w:rPr>
        <w:t xml:space="preserve"> </w:t>
      </w:r>
      <w:r>
        <w:rPr>
          <w:rFonts w:ascii="Cambria" w:hAnsi="Cambria"/>
          <w:lang w:val="en-AU"/>
        </w:rPr>
        <w:t>there were 77 cases identified between 2010-2020</w:t>
      </w:r>
      <w:r w:rsidR="007631D5">
        <w:rPr>
          <w:rFonts w:ascii="Cambria" w:hAnsi="Cambria"/>
          <w:lang w:val="en-AU"/>
        </w:rPr>
        <w:t xml:space="preserve"> </w:t>
      </w:r>
      <w:r>
        <w:rPr>
          <w:rFonts w:ascii="Cambria" w:hAnsi="Cambria"/>
          <w:lang w:val="en-AU"/>
        </w:rPr>
        <w:t xml:space="preserve">where offenders </w:t>
      </w:r>
      <w:r w:rsidR="00BB0A43">
        <w:rPr>
          <w:rFonts w:ascii="Cambria" w:hAnsi="Cambria"/>
          <w:lang w:val="en-AU"/>
        </w:rPr>
        <w:t xml:space="preserve">were sentenced in the Supreme Court </w:t>
      </w:r>
      <w:r>
        <w:rPr>
          <w:rFonts w:ascii="Cambria" w:hAnsi="Cambria"/>
          <w:lang w:val="en-AU"/>
        </w:rPr>
        <w:t xml:space="preserve">for </w:t>
      </w:r>
      <w:r w:rsidR="00B57722">
        <w:rPr>
          <w:rFonts w:ascii="Cambria" w:hAnsi="Cambria"/>
          <w:lang w:val="en-AU"/>
        </w:rPr>
        <w:t>acts of non-fatal strangulation</w:t>
      </w:r>
      <w:r>
        <w:rPr>
          <w:rFonts w:ascii="Cambria" w:hAnsi="Cambria"/>
          <w:lang w:val="en-AU"/>
        </w:rPr>
        <w:t>.</w:t>
      </w:r>
      <w:r>
        <w:rPr>
          <w:rStyle w:val="FootnoteReference"/>
          <w:rFonts w:ascii="Cambria" w:hAnsi="Cambria"/>
          <w:lang w:val="en-AU"/>
        </w:rPr>
        <w:footnoteReference w:id="11"/>
      </w:r>
    </w:p>
    <w:p w14:paraId="473630AC" w14:textId="77777777" w:rsidR="00694349" w:rsidRDefault="00694349" w:rsidP="00B57722">
      <w:pPr>
        <w:jc w:val="both"/>
        <w:rPr>
          <w:rFonts w:ascii="Cambria" w:hAnsi="Cambria"/>
          <w:lang w:val="en-AU"/>
        </w:rPr>
      </w:pPr>
    </w:p>
    <w:p w14:paraId="0CF9BCA3" w14:textId="6B1D5405" w:rsidR="005D432B" w:rsidRDefault="00B57722" w:rsidP="00B57722">
      <w:pPr>
        <w:jc w:val="both"/>
        <w:rPr>
          <w:rFonts w:ascii="Cambria" w:hAnsi="Cambria"/>
          <w:lang w:val="en-AU"/>
        </w:rPr>
      </w:pPr>
      <w:r>
        <w:rPr>
          <w:rFonts w:ascii="Cambria" w:hAnsi="Cambria"/>
          <w:lang w:val="en-AU"/>
        </w:rPr>
        <w:t xml:space="preserve">The </w:t>
      </w:r>
      <w:r w:rsidR="001D76C6">
        <w:rPr>
          <w:rFonts w:ascii="Cambria" w:hAnsi="Cambria"/>
          <w:lang w:val="en-AU"/>
        </w:rPr>
        <w:t xml:space="preserve">Sentencing Advisory Council report (‘the SAC </w:t>
      </w:r>
      <w:r w:rsidR="00EC1F2F">
        <w:rPr>
          <w:rFonts w:ascii="Cambria" w:hAnsi="Cambria"/>
          <w:lang w:val="en-AU"/>
        </w:rPr>
        <w:t>r</w:t>
      </w:r>
      <w:r w:rsidR="001D76C6">
        <w:rPr>
          <w:rFonts w:ascii="Cambria" w:hAnsi="Cambria"/>
          <w:lang w:val="en-AU"/>
        </w:rPr>
        <w:t>eport’)</w:t>
      </w:r>
      <w:r>
        <w:rPr>
          <w:rFonts w:ascii="Cambria" w:hAnsi="Cambria"/>
          <w:lang w:val="en-AU"/>
        </w:rPr>
        <w:t xml:space="preserve"> found that</w:t>
      </w:r>
      <w:r w:rsidR="00BB0A43">
        <w:rPr>
          <w:rFonts w:ascii="Cambria" w:hAnsi="Cambria"/>
          <w:lang w:val="en-AU"/>
        </w:rPr>
        <w:t xml:space="preserve"> </w:t>
      </w:r>
      <w:r>
        <w:rPr>
          <w:rFonts w:ascii="Cambria" w:hAnsi="Cambria"/>
          <w:lang w:val="en-AU"/>
        </w:rPr>
        <w:t xml:space="preserve">assault was the most commonly charged offence in cases of non-fatal strangulation, with </w:t>
      </w:r>
      <w:r w:rsidR="00B56838">
        <w:rPr>
          <w:rFonts w:ascii="Cambria" w:hAnsi="Cambria"/>
          <w:lang w:val="en-AU"/>
        </w:rPr>
        <w:t xml:space="preserve">66 per cent of all cases </w:t>
      </w:r>
      <w:r>
        <w:rPr>
          <w:rFonts w:ascii="Cambria" w:hAnsi="Cambria"/>
          <w:lang w:val="en-AU"/>
        </w:rPr>
        <w:t>and 81 per cent in family violence cases.</w:t>
      </w:r>
      <w:r w:rsidR="00694349">
        <w:rPr>
          <w:rStyle w:val="FootnoteReference"/>
          <w:rFonts w:ascii="Cambria" w:hAnsi="Cambria"/>
          <w:lang w:val="en-AU"/>
        </w:rPr>
        <w:footnoteReference w:id="12"/>
      </w:r>
      <w:r>
        <w:rPr>
          <w:rFonts w:ascii="Cambria" w:hAnsi="Cambria"/>
          <w:lang w:val="en-AU"/>
        </w:rPr>
        <w:t xml:space="preserve"> Less common charges included aggravated assault, assault on a pregnant woman and persistent family violence.</w:t>
      </w:r>
      <w:r w:rsidR="00694349">
        <w:rPr>
          <w:rStyle w:val="FootnoteReference"/>
          <w:rFonts w:ascii="Cambria" w:hAnsi="Cambria"/>
          <w:lang w:val="en-AU"/>
        </w:rPr>
        <w:footnoteReference w:id="13"/>
      </w:r>
      <w:r>
        <w:rPr>
          <w:rFonts w:ascii="Cambria" w:hAnsi="Cambria"/>
          <w:lang w:val="en-AU"/>
        </w:rPr>
        <w:t xml:space="preserve"> </w:t>
      </w:r>
    </w:p>
    <w:p w14:paraId="4C7B8889" w14:textId="77777777" w:rsidR="005D432B" w:rsidRDefault="005D432B" w:rsidP="00B57722">
      <w:pPr>
        <w:jc w:val="both"/>
        <w:rPr>
          <w:rFonts w:ascii="Cambria" w:hAnsi="Cambria"/>
          <w:lang w:val="en-AU"/>
        </w:rPr>
      </w:pPr>
    </w:p>
    <w:p w14:paraId="1834898D" w14:textId="64E53904" w:rsidR="00926FCB" w:rsidRDefault="00B56838" w:rsidP="00B57722">
      <w:pPr>
        <w:jc w:val="both"/>
        <w:rPr>
          <w:rFonts w:ascii="Cambria" w:hAnsi="Cambria"/>
          <w:lang w:val="en-AU"/>
        </w:rPr>
      </w:pPr>
      <w:r>
        <w:rPr>
          <w:rFonts w:ascii="Cambria" w:hAnsi="Cambria"/>
          <w:lang w:val="en-AU"/>
        </w:rPr>
        <w:t xml:space="preserve">The SAC </w:t>
      </w:r>
      <w:r w:rsidR="00EC1F2F">
        <w:rPr>
          <w:rFonts w:ascii="Cambria" w:hAnsi="Cambria"/>
          <w:lang w:val="en-AU"/>
        </w:rPr>
        <w:t>r</w:t>
      </w:r>
      <w:r>
        <w:rPr>
          <w:rFonts w:ascii="Cambria" w:hAnsi="Cambria"/>
          <w:lang w:val="en-AU"/>
        </w:rPr>
        <w:t>eport also found that for all counts of assault involving non-fatal strangulation, 94 per cent received a custodial sentence comprised of either imprisonment or a partly or fully suspended sentence.</w:t>
      </w:r>
      <w:r w:rsidR="00742F4E">
        <w:rPr>
          <w:rStyle w:val="FootnoteReference"/>
          <w:rFonts w:ascii="Cambria" w:hAnsi="Cambria"/>
          <w:lang w:val="en-AU"/>
        </w:rPr>
        <w:footnoteReference w:id="14"/>
      </w:r>
      <w:r>
        <w:rPr>
          <w:rFonts w:ascii="Cambria" w:hAnsi="Cambria"/>
          <w:lang w:val="en-AU"/>
        </w:rPr>
        <w:t xml:space="preserve"> And, for all counts </w:t>
      </w:r>
      <w:r w:rsidR="00EC1F2F">
        <w:rPr>
          <w:rFonts w:ascii="Cambria" w:hAnsi="Cambria"/>
          <w:lang w:val="en-AU"/>
        </w:rPr>
        <w:t xml:space="preserve">of </w:t>
      </w:r>
      <w:r>
        <w:rPr>
          <w:rFonts w:ascii="Cambria" w:hAnsi="Cambria"/>
          <w:lang w:val="en-AU"/>
        </w:rPr>
        <w:t>assault that were committed against an intimate partner, 93 per cent received a custodial sentence.</w:t>
      </w:r>
      <w:r w:rsidR="00742F4E">
        <w:rPr>
          <w:rStyle w:val="FootnoteReference"/>
          <w:rFonts w:ascii="Cambria" w:hAnsi="Cambria"/>
          <w:lang w:val="en-AU"/>
        </w:rPr>
        <w:footnoteReference w:id="15"/>
      </w:r>
      <w:r w:rsidR="003836C2">
        <w:rPr>
          <w:rFonts w:ascii="Cambria" w:hAnsi="Cambria"/>
          <w:lang w:val="en-AU"/>
        </w:rPr>
        <w:t xml:space="preserve"> </w:t>
      </w:r>
    </w:p>
    <w:p w14:paraId="3667E86D" w14:textId="4B4C5C76" w:rsidR="00D114C8" w:rsidRDefault="00D114C8" w:rsidP="00B57722">
      <w:pPr>
        <w:jc w:val="both"/>
        <w:rPr>
          <w:rFonts w:ascii="Cambria" w:hAnsi="Cambria"/>
          <w:lang w:val="en-AU"/>
        </w:rPr>
      </w:pPr>
    </w:p>
    <w:p w14:paraId="321FF2BC" w14:textId="694F2914" w:rsidR="00EC1F2F" w:rsidRPr="00EC1F2F" w:rsidRDefault="00D114C8" w:rsidP="00EC1F2F">
      <w:pPr>
        <w:jc w:val="both"/>
        <w:rPr>
          <w:rFonts w:ascii="Cambria" w:hAnsi="Cambria"/>
          <w:lang w:val="en-AU"/>
        </w:rPr>
      </w:pPr>
      <w:r>
        <w:rPr>
          <w:rFonts w:ascii="Cambria" w:hAnsi="Cambria"/>
          <w:lang w:val="en-AU"/>
        </w:rPr>
        <w:t xml:space="preserve">As the SAC </w:t>
      </w:r>
      <w:r w:rsidR="00EC1F2F">
        <w:rPr>
          <w:rFonts w:ascii="Cambria" w:hAnsi="Cambria"/>
          <w:lang w:val="en-AU"/>
        </w:rPr>
        <w:t>r</w:t>
      </w:r>
      <w:r>
        <w:rPr>
          <w:rFonts w:ascii="Cambria" w:hAnsi="Cambria"/>
          <w:lang w:val="en-AU"/>
        </w:rPr>
        <w:t xml:space="preserve">eport noted, there is clear recognition by those charged with prosecuting non-fatal strangulation and by the courts in Tasmania of the seriousness of non-fatal strangulation, particularly in the context of family violence. The Director of Public Prosecutions has guidelines noting that non-fatal strangulation is “grave criminal conduct” whilst Tasmania’s </w:t>
      </w:r>
      <w:r w:rsidR="00EC1F2F">
        <w:rPr>
          <w:rFonts w:ascii="Cambria" w:hAnsi="Cambria"/>
          <w:lang w:val="en-AU"/>
        </w:rPr>
        <w:t>Supreme Court has</w:t>
      </w:r>
      <w:r w:rsidR="00EC1F2F">
        <w:rPr>
          <w:rFonts w:ascii="Cambria" w:hAnsi="Cambria"/>
          <w:color w:val="000000" w:themeColor="text1"/>
          <w:lang w:val="en-AU"/>
        </w:rPr>
        <w:t xml:space="preserve"> </w:t>
      </w:r>
      <w:r w:rsidR="00EC1F2F" w:rsidRPr="002C6302">
        <w:rPr>
          <w:rFonts w:ascii="Cambria" w:hAnsi="Cambria"/>
          <w:color w:val="000000" w:themeColor="text1"/>
          <w:lang w:val="en-AU"/>
        </w:rPr>
        <w:t>imposed heavier sentences for assault involving non-fatal strangulation</w:t>
      </w:r>
      <w:r w:rsidR="00EC1F2F">
        <w:rPr>
          <w:rFonts w:ascii="Cambria" w:hAnsi="Cambria"/>
          <w:color w:val="000000" w:themeColor="text1"/>
          <w:lang w:val="en-AU"/>
        </w:rPr>
        <w:t xml:space="preserve"> </w:t>
      </w:r>
      <w:r w:rsidR="00EC1F2F" w:rsidRPr="002C6302">
        <w:rPr>
          <w:rFonts w:ascii="Cambria" w:hAnsi="Cambria"/>
          <w:color w:val="000000" w:themeColor="text1"/>
          <w:lang w:val="en-AU"/>
        </w:rPr>
        <w:t>with more sentences of imprisonment imposed (47.3 per cent compared to 37.6 per cent) and the median sentence of imprisonment imposed</w:t>
      </w:r>
      <w:r w:rsidR="00EC1F2F">
        <w:rPr>
          <w:rFonts w:ascii="Cambria" w:hAnsi="Cambria"/>
          <w:color w:val="000000" w:themeColor="text1"/>
          <w:lang w:val="en-AU"/>
        </w:rPr>
        <w:t xml:space="preserve"> having</w:t>
      </w:r>
      <w:r w:rsidR="00EC1F2F" w:rsidRPr="002C6302">
        <w:rPr>
          <w:rFonts w:ascii="Cambria" w:hAnsi="Cambria"/>
          <w:color w:val="000000" w:themeColor="text1"/>
          <w:lang w:val="en-AU"/>
        </w:rPr>
        <w:t xml:space="preserve"> more than double</w:t>
      </w:r>
      <w:r w:rsidR="00EC1F2F">
        <w:rPr>
          <w:rFonts w:ascii="Cambria" w:hAnsi="Cambria"/>
          <w:color w:val="000000" w:themeColor="text1"/>
          <w:lang w:val="en-AU"/>
        </w:rPr>
        <w:t>d</w:t>
      </w:r>
      <w:r w:rsidR="00EC1F2F" w:rsidRPr="002C6302">
        <w:rPr>
          <w:rFonts w:ascii="Cambria" w:hAnsi="Cambria"/>
          <w:color w:val="000000" w:themeColor="text1"/>
          <w:lang w:val="en-AU"/>
        </w:rPr>
        <w:t xml:space="preserve"> (24 months compared to 10 months).</w:t>
      </w:r>
      <w:r w:rsidR="00EC1F2F">
        <w:rPr>
          <w:rStyle w:val="FootnoteReference"/>
          <w:rFonts w:ascii="Cambria" w:hAnsi="Cambria"/>
          <w:color w:val="000000" w:themeColor="text1"/>
          <w:lang w:val="en-AU"/>
        </w:rPr>
        <w:footnoteReference w:id="16"/>
      </w:r>
      <w:r w:rsidR="00EC1F2F" w:rsidRPr="002C6302">
        <w:rPr>
          <w:rFonts w:ascii="ArialMT" w:hAnsi="ArialMT"/>
          <w:color w:val="000000" w:themeColor="text1"/>
        </w:rPr>
        <w:t xml:space="preserve"> </w:t>
      </w:r>
    </w:p>
    <w:p w14:paraId="68D0A5C9" w14:textId="77777777" w:rsidR="00EC1F2F" w:rsidRDefault="00EC1F2F" w:rsidP="00B57722">
      <w:pPr>
        <w:jc w:val="both"/>
        <w:rPr>
          <w:rFonts w:ascii="Cambria" w:hAnsi="Cambria"/>
          <w:lang w:val="en-AU"/>
        </w:rPr>
      </w:pPr>
    </w:p>
    <w:p w14:paraId="1CD03A31" w14:textId="0B746DC3" w:rsidR="00EC1F2F" w:rsidRDefault="008B1600" w:rsidP="00B57722">
      <w:pPr>
        <w:jc w:val="both"/>
        <w:rPr>
          <w:rFonts w:ascii="Cambria" w:hAnsi="Cambria"/>
          <w:lang w:val="en-AU"/>
        </w:rPr>
      </w:pPr>
      <w:r>
        <w:rPr>
          <w:rFonts w:ascii="Cambria" w:hAnsi="Cambria"/>
          <w:lang w:val="en-AU"/>
        </w:rPr>
        <w:t>Nevertheless, i</w:t>
      </w:r>
      <w:r w:rsidR="00926FCB">
        <w:rPr>
          <w:rFonts w:ascii="Cambria" w:hAnsi="Cambria"/>
          <w:lang w:val="en-AU"/>
        </w:rPr>
        <w:t>t is important to note the limitations of the Sentencing Advisory Council research, including that the research was limited to cases in the Supreme Court where only the most serious, harmful and well-evidenced cases are finalised. Most acts of non-fatal strangulation occur behind closed doors and are not reported</w:t>
      </w:r>
      <w:r w:rsidR="00103E70">
        <w:rPr>
          <w:rFonts w:ascii="Cambria" w:hAnsi="Cambria"/>
          <w:lang w:val="en-AU"/>
        </w:rPr>
        <w:t xml:space="preserve"> because the victim is frightened about the </w:t>
      </w:r>
      <w:r w:rsidR="003A5881">
        <w:rPr>
          <w:rFonts w:ascii="Cambria" w:hAnsi="Cambria"/>
          <w:lang w:val="en-AU"/>
        </w:rPr>
        <w:t>consequences</w:t>
      </w:r>
      <w:r w:rsidR="00103E70">
        <w:rPr>
          <w:rFonts w:ascii="Cambria" w:hAnsi="Cambria"/>
          <w:lang w:val="en-AU"/>
        </w:rPr>
        <w:t xml:space="preserve"> of reporting or does not believe that the </w:t>
      </w:r>
      <w:r w:rsidR="00D114C8">
        <w:rPr>
          <w:rFonts w:ascii="Cambria" w:hAnsi="Cambria"/>
          <w:lang w:val="en-AU"/>
        </w:rPr>
        <w:t>conduct</w:t>
      </w:r>
      <w:r w:rsidR="00103E70">
        <w:rPr>
          <w:rFonts w:ascii="Cambria" w:hAnsi="Cambria"/>
          <w:lang w:val="en-AU"/>
        </w:rPr>
        <w:t xml:space="preserve"> is </w:t>
      </w:r>
      <w:r w:rsidR="00103E70" w:rsidRPr="00103E70">
        <w:rPr>
          <w:rFonts w:ascii="Cambria" w:hAnsi="Cambria"/>
          <w:lang w:val="en-AU"/>
        </w:rPr>
        <w:t>serious</w:t>
      </w:r>
      <w:r w:rsidR="00192B24">
        <w:rPr>
          <w:rFonts w:ascii="Cambria" w:hAnsi="Cambria"/>
          <w:lang w:val="en-AU"/>
        </w:rPr>
        <w:t xml:space="preserve"> enough</w:t>
      </w:r>
      <w:r w:rsidR="00103E70" w:rsidRPr="00103E70">
        <w:rPr>
          <w:rFonts w:ascii="Cambria" w:hAnsi="Cambria"/>
          <w:lang w:val="en-AU"/>
        </w:rPr>
        <w:t xml:space="preserve">. As well, </w:t>
      </w:r>
      <w:r w:rsidR="00192B24">
        <w:rPr>
          <w:rFonts w:ascii="Cambria" w:hAnsi="Cambria"/>
          <w:lang w:val="en-AU"/>
        </w:rPr>
        <w:t xml:space="preserve">even where the </w:t>
      </w:r>
      <w:r w:rsidR="009A17AD">
        <w:rPr>
          <w:rFonts w:ascii="Cambria" w:hAnsi="Cambria"/>
          <w:lang w:val="en-AU"/>
        </w:rPr>
        <w:t>conduct</w:t>
      </w:r>
      <w:r w:rsidR="00192B24">
        <w:rPr>
          <w:rFonts w:ascii="Cambria" w:hAnsi="Cambria"/>
          <w:lang w:val="en-AU"/>
        </w:rPr>
        <w:t xml:space="preserve"> is reported, recognition by Tasmania Police personnel continues to be “uneven”.</w:t>
      </w:r>
      <w:r w:rsidR="00103E70">
        <w:rPr>
          <w:rStyle w:val="FootnoteReference"/>
          <w:rFonts w:ascii="Cambria" w:hAnsi="Cambria"/>
          <w:lang w:val="en-AU"/>
        </w:rPr>
        <w:footnoteReference w:id="17"/>
      </w:r>
      <w:r w:rsidR="00192B24">
        <w:rPr>
          <w:rFonts w:ascii="Cambria" w:hAnsi="Cambria"/>
          <w:lang w:val="en-AU"/>
        </w:rPr>
        <w:t xml:space="preserve"> Finally, </w:t>
      </w:r>
      <w:r w:rsidR="009A17AD">
        <w:rPr>
          <w:rFonts w:ascii="Cambria" w:hAnsi="Cambria"/>
          <w:lang w:val="en-AU"/>
        </w:rPr>
        <w:t>prosecution may not take place</w:t>
      </w:r>
      <w:r w:rsidR="00192B24">
        <w:rPr>
          <w:rFonts w:ascii="Cambria" w:hAnsi="Cambria"/>
          <w:lang w:val="en-AU"/>
        </w:rPr>
        <w:t xml:space="preserve"> </w:t>
      </w:r>
      <w:r w:rsidR="009A17AD">
        <w:rPr>
          <w:rFonts w:ascii="Cambria" w:hAnsi="Cambria"/>
          <w:lang w:val="en-AU"/>
        </w:rPr>
        <w:t>where</w:t>
      </w:r>
      <w:r w:rsidR="00192B24">
        <w:rPr>
          <w:rFonts w:ascii="Cambria" w:hAnsi="Cambria"/>
          <w:lang w:val="en-AU"/>
        </w:rPr>
        <w:t xml:space="preserve"> the complainant </w:t>
      </w:r>
      <w:r w:rsidR="003A5881">
        <w:rPr>
          <w:rFonts w:ascii="Cambria" w:hAnsi="Cambria"/>
          <w:lang w:val="en-AU"/>
        </w:rPr>
        <w:t xml:space="preserve">seeks to </w:t>
      </w:r>
      <w:r w:rsidR="009A17AD">
        <w:rPr>
          <w:rFonts w:ascii="Cambria" w:hAnsi="Cambria"/>
          <w:lang w:val="en-AU"/>
        </w:rPr>
        <w:t xml:space="preserve">withdraw their </w:t>
      </w:r>
      <w:r w:rsidR="003A5881">
        <w:rPr>
          <w:rFonts w:ascii="Cambria" w:hAnsi="Cambria"/>
          <w:lang w:val="en-AU"/>
        </w:rPr>
        <w:t>complaint</w:t>
      </w:r>
      <w:r w:rsidR="009A17AD">
        <w:rPr>
          <w:rFonts w:ascii="Cambria" w:hAnsi="Cambria"/>
          <w:lang w:val="en-AU"/>
        </w:rPr>
        <w:t xml:space="preserve"> </w:t>
      </w:r>
      <w:r w:rsidR="00192B24">
        <w:rPr>
          <w:rFonts w:ascii="Cambria" w:hAnsi="Cambria"/>
          <w:lang w:val="en-AU"/>
        </w:rPr>
        <w:t xml:space="preserve">or </w:t>
      </w:r>
      <w:r w:rsidR="009A17AD">
        <w:rPr>
          <w:rFonts w:ascii="Cambria" w:hAnsi="Cambria"/>
          <w:lang w:val="en-AU"/>
        </w:rPr>
        <w:t xml:space="preserve">where the prospects of a successful prosecution are low. </w:t>
      </w:r>
    </w:p>
    <w:p w14:paraId="0ABB8531" w14:textId="77777777" w:rsidR="00EC1F2F" w:rsidRDefault="00EC1F2F" w:rsidP="00B57722">
      <w:pPr>
        <w:jc w:val="both"/>
        <w:rPr>
          <w:rFonts w:ascii="Cambria" w:hAnsi="Cambria"/>
          <w:lang w:val="en-AU"/>
        </w:rPr>
      </w:pPr>
    </w:p>
    <w:p w14:paraId="7CA430C2" w14:textId="32E9584E" w:rsidR="007631D5" w:rsidRDefault="009A17AD" w:rsidP="008B1600">
      <w:pPr>
        <w:jc w:val="both"/>
        <w:rPr>
          <w:rFonts w:ascii="Cambria" w:hAnsi="Cambria"/>
          <w:color w:val="000000" w:themeColor="text1"/>
          <w:lang w:val="en-AU"/>
        </w:rPr>
      </w:pPr>
      <w:r w:rsidRPr="00EC1F2F">
        <w:rPr>
          <w:rFonts w:ascii="Cambria" w:hAnsi="Cambria"/>
          <w:color w:val="000000" w:themeColor="text1"/>
          <w:lang w:val="en-AU"/>
        </w:rPr>
        <w:t>Over time, a standalone offence of non-fatal strangulation is likely to increase the number of survivors reporting the conduct and result in a more responsive approach from the police and prosecution.</w:t>
      </w:r>
      <w:r w:rsidR="00EC1F2F" w:rsidRPr="00EC1F2F">
        <w:rPr>
          <w:rFonts w:ascii="Cambria" w:hAnsi="Cambria"/>
          <w:color w:val="000000" w:themeColor="text1"/>
          <w:lang w:val="en-AU"/>
        </w:rPr>
        <w:t xml:space="preserve"> </w:t>
      </w:r>
      <w:r w:rsidR="00DF781C">
        <w:rPr>
          <w:rFonts w:ascii="Cambria" w:hAnsi="Cambria"/>
          <w:color w:val="000000" w:themeColor="text1"/>
          <w:lang w:val="en-AU"/>
        </w:rPr>
        <w:t>A</w:t>
      </w:r>
      <w:r w:rsidR="00EC1F2F">
        <w:rPr>
          <w:rFonts w:ascii="Cambria" w:hAnsi="Cambria"/>
          <w:color w:val="000000" w:themeColor="text1"/>
          <w:lang w:val="en-AU"/>
        </w:rPr>
        <w:t xml:space="preserve"> new standalone offence will also ensure that there is a more accurate record of non-fatal strangulation in the community, will assist with community education and will also send a strong statement about the seriousness of non-fatal </w:t>
      </w:r>
      <w:r w:rsidR="00EC1F2F">
        <w:rPr>
          <w:rFonts w:ascii="Cambria" w:hAnsi="Cambria"/>
          <w:color w:val="000000" w:themeColor="text1"/>
          <w:lang w:val="en-AU"/>
        </w:rPr>
        <w:lastRenderedPageBreak/>
        <w:t xml:space="preserve">strangulation. </w:t>
      </w:r>
      <w:r w:rsidR="00EC1F2F" w:rsidRPr="00EC1F2F">
        <w:rPr>
          <w:rFonts w:ascii="Cambria" w:hAnsi="Cambria"/>
          <w:color w:val="000000" w:themeColor="text1"/>
          <w:lang w:val="en-AU"/>
        </w:rPr>
        <w:t>For th</w:t>
      </w:r>
      <w:r w:rsidR="00EC1F2F">
        <w:rPr>
          <w:rFonts w:ascii="Cambria" w:hAnsi="Cambria"/>
          <w:color w:val="000000" w:themeColor="text1"/>
          <w:lang w:val="en-AU"/>
        </w:rPr>
        <w:t>ese</w:t>
      </w:r>
      <w:r w:rsidR="00EC1F2F" w:rsidRPr="00EC1F2F">
        <w:rPr>
          <w:rFonts w:ascii="Cambria" w:hAnsi="Cambria"/>
          <w:color w:val="000000" w:themeColor="text1"/>
          <w:lang w:val="en-AU"/>
        </w:rPr>
        <w:t xml:space="preserve"> reason</w:t>
      </w:r>
      <w:r w:rsidR="00EC1F2F">
        <w:rPr>
          <w:rFonts w:ascii="Cambria" w:hAnsi="Cambria"/>
          <w:color w:val="000000" w:themeColor="text1"/>
          <w:lang w:val="en-AU"/>
        </w:rPr>
        <w:t>s</w:t>
      </w:r>
      <w:r w:rsidR="00EC1F2F" w:rsidRPr="00EC1F2F">
        <w:rPr>
          <w:rFonts w:ascii="Cambria" w:hAnsi="Cambria"/>
          <w:color w:val="000000" w:themeColor="text1"/>
          <w:lang w:val="en-AU"/>
        </w:rPr>
        <w:t xml:space="preserve">, we support the introduction of a standalone offence of non-fatal strangulation.  </w:t>
      </w:r>
      <w:r w:rsidRPr="00EC1F2F">
        <w:rPr>
          <w:rFonts w:ascii="Cambria" w:hAnsi="Cambria"/>
          <w:color w:val="000000" w:themeColor="text1"/>
          <w:lang w:val="en-AU"/>
        </w:rPr>
        <w:t xml:space="preserve">    </w:t>
      </w:r>
      <w:r w:rsidR="00192B24" w:rsidRPr="00EC1F2F">
        <w:rPr>
          <w:rFonts w:ascii="Cambria" w:hAnsi="Cambria"/>
          <w:color w:val="000000" w:themeColor="text1"/>
          <w:lang w:val="en-AU"/>
        </w:rPr>
        <w:t xml:space="preserve">   </w:t>
      </w:r>
    </w:p>
    <w:p w14:paraId="1FEE3110" w14:textId="0FDCE970" w:rsidR="008B1600" w:rsidRDefault="008B1600" w:rsidP="008B1600">
      <w:pPr>
        <w:jc w:val="both"/>
        <w:rPr>
          <w:rFonts w:ascii="Cambria" w:hAnsi="Cambria"/>
          <w:color w:val="000000" w:themeColor="text1"/>
          <w:lang w:val="en-AU"/>
        </w:rPr>
      </w:pPr>
    </w:p>
    <w:p w14:paraId="28F43120" w14:textId="108093FB" w:rsidR="008B1600" w:rsidRPr="008B1600" w:rsidRDefault="008B1600" w:rsidP="008B1600">
      <w:pPr>
        <w:jc w:val="both"/>
        <w:rPr>
          <w:rFonts w:ascii="Cambria" w:hAnsi="Cambria"/>
          <w:b/>
          <w:bCs/>
          <w:color w:val="000000" w:themeColor="text1"/>
          <w:lang w:val="en-AU"/>
        </w:rPr>
      </w:pPr>
      <w:r w:rsidRPr="008B1600">
        <w:rPr>
          <w:rFonts w:ascii="Cambria" w:hAnsi="Cambria"/>
          <w:b/>
          <w:bCs/>
          <w:color w:val="000000" w:themeColor="text1"/>
          <w:lang w:val="en-AU"/>
        </w:rPr>
        <w:t>Stealthing</w:t>
      </w:r>
    </w:p>
    <w:p w14:paraId="4DCE6DC2" w14:textId="235F23EA" w:rsidR="0025038D" w:rsidRDefault="008B1600" w:rsidP="008B1600">
      <w:pPr>
        <w:jc w:val="both"/>
        <w:rPr>
          <w:rFonts w:ascii="Cambria" w:hAnsi="Cambria"/>
          <w:lang w:val="en-AU"/>
        </w:rPr>
      </w:pPr>
      <w:r w:rsidRPr="008B1600">
        <w:rPr>
          <w:rFonts w:ascii="Cambria" w:hAnsi="Cambria"/>
          <w:lang w:val="en-AU"/>
        </w:rPr>
        <w:t xml:space="preserve">We also </w:t>
      </w:r>
      <w:r>
        <w:rPr>
          <w:rFonts w:ascii="Cambria" w:hAnsi="Cambria"/>
          <w:lang w:val="en-AU"/>
        </w:rPr>
        <w:t xml:space="preserve">support </w:t>
      </w:r>
      <w:r w:rsidRPr="008B1600">
        <w:rPr>
          <w:rFonts w:ascii="Cambria" w:hAnsi="Cambria"/>
          <w:lang w:val="en-AU"/>
        </w:rPr>
        <w:t xml:space="preserve">the </w:t>
      </w:r>
      <w:r>
        <w:rPr>
          <w:rFonts w:ascii="Cambria" w:hAnsi="Cambria"/>
          <w:lang w:val="en-AU"/>
        </w:rPr>
        <w:t>Bill’s</w:t>
      </w:r>
      <w:r w:rsidRPr="008B1600">
        <w:rPr>
          <w:rFonts w:ascii="Cambria" w:hAnsi="Cambria"/>
          <w:lang w:val="en-AU"/>
        </w:rPr>
        <w:t xml:space="preserve"> intention to amend the definition of ‘consent’ in relation to stealthing.</w:t>
      </w:r>
      <w:r>
        <w:rPr>
          <w:rFonts w:ascii="Cambria" w:hAnsi="Cambria"/>
          <w:lang w:val="en-AU"/>
        </w:rPr>
        <w:t xml:space="preserve"> The act of removing a condom during sexual intercourse without consent</w:t>
      </w:r>
      <w:r w:rsidR="0025038D">
        <w:rPr>
          <w:rFonts w:ascii="Cambria" w:hAnsi="Cambria"/>
          <w:lang w:val="en-AU"/>
        </w:rPr>
        <w:t xml:space="preserve"> should be clearly identified as a sexual offence, particularly</w:t>
      </w:r>
      <w:r>
        <w:rPr>
          <w:rFonts w:ascii="Cambria" w:hAnsi="Cambria"/>
          <w:lang w:val="en-AU"/>
        </w:rPr>
        <w:t xml:space="preserve"> as it can result in physical and mental harm for survivors.</w:t>
      </w:r>
    </w:p>
    <w:p w14:paraId="04D6AFDC" w14:textId="77777777" w:rsidR="0025038D" w:rsidRDefault="0025038D" w:rsidP="008B1600">
      <w:pPr>
        <w:jc w:val="both"/>
        <w:rPr>
          <w:rFonts w:ascii="Cambria" w:hAnsi="Cambria"/>
          <w:lang w:val="en-AU"/>
        </w:rPr>
      </w:pPr>
    </w:p>
    <w:p w14:paraId="755F3450" w14:textId="7C84F7B8" w:rsidR="008B1600" w:rsidRDefault="008B1600" w:rsidP="008B1600">
      <w:pPr>
        <w:jc w:val="both"/>
        <w:rPr>
          <w:rFonts w:ascii="Cambria" w:hAnsi="Cambria"/>
          <w:lang w:val="en-AU"/>
        </w:rPr>
      </w:pPr>
      <w:r>
        <w:rPr>
          <w:rFonts w:ascii="Cambria" w:hAnsi="Cambria"/>
          <w:lang w:val="en-AU"/>
        </w:rPr>
        <w:t xml:space="preserve">In the recent New Zealand decision of </w:t>
      </w:r>
      <w:r w:rsidRPr="0025038D">
        <w:rPr>
          <w:rFonts w:ascii="Cambria" w:hAnsi="Cambria"/>
          <w:i/>
          <w:iCs/>
          <w:lang w:val="en-AU"/>
        </w:rPr>
        <w:t>R v Campos</w:t>
      </w:r>
      <w:r>
        <w:rPr>
          <w:rStyle w:val="FootnoteReference"/>
          <w:rFonts w:ascii="Cambria" w:hAnsi="Cambria"/>
          <w:lang w:val="en-AU"/>
        </w:rPr>
        <w:footnoteReference w:id="18"/>
      </w:r>
      <w:r w:rsidR="0025038D">
        <w:rPr>
          <w:rFonts w:ascii="Cambria" w:hAnsi="Cambria"/>
          <w:lang w:val="en-AU"/>
        </w:rPr>
        <w:t xml:space="preserve"> the District Court of Wellington found that there were a number of aggravating factors applicable to stealthing, including premeditation, the risk of pregnancy or contracting a sexually transmitted disease and psychological harm.</w:t>
      </w:r>
      <w:r w:rsidR="0025038D">
        <w:rPr>
          <w:rStyle w:val="FootnoteReference"/>
          <w:rFonts w:ascii="Cambria" w:hAnsi="Cambria"/>
          <w:lang w:val="en-AU"/>
        </w:rPr>
        <w:footnoteReference w:id="19"/>
      </w:r>
      <w:r w:rsidR="0025038D">
        <w:rPr>
          <w:rFonts w:ascii="Cambria" w:hAnsi="Cambria"/>
          <w:lang w:val="en-AU"/>
        </w:rPr>
        <w:t xml:space="preserve">   </w:t>
      </w:r>
    </w:p>
    <w:p w14:paraId="62B7E3A9" w14:textId="77777777" w:rsidR="008B1600" w:rsidRDefault="008B1600" w:rsidP="008B1600">
      <w:pPr>
        <w:jc w:val="both"/>
        <w:rPr>
          <w:rFonts w:ascii="Cambria" w:hAnsi="Cambria"/>
          <w:lang w:val="en-AU"/>
        </w:rPr>
      </w:pPr>
    </w:p>
    <w:p w14:paraId="2FB9ADEC" w14:textId="023A7B01" w:rsidR="008B1600" w:rsidRPr="008B1600" w:rsidRDefault="008B1600" w:rsidP="008B1600">
      <w:pPr>
        <w:jc w:val="both"/>
        <w:rPr>
          <w:rFonts w:ascii="Cambria" w:hAnsi="Cambria"/>
          <w:lang w:val="en-AU"/>
        </w:rPr>
      </w:pPr>
      <w:r>
        <w:rPr>
          <w:rFonts w:ascii="Cambria" w:hAnsi="Cambria"/>
          <w:lang w:val="en-AU"/>
        </w:rPr>
        <w:t>W</w:t>
      </w:r>
      <w:r w:rsidRPr="008B1600">
        <w:rPr>
          <w:rFonts w:ascii="Cambria" w:hAnsi="Cambria"/>
          <w:lang w:val="en-AU"/>
        </w:rPr>
        <w:t xml:space="preserve">e strongly believe that specific recognition of ‘stealthing’ will better educate the public, discourage would-be offenders and </w:t>
      </w:r>
      <w:r w:rsidR="0025038D">
        <w:rPr>
          <w:rFonts w:ascii="Cambria" w:hAnsi="Cambria"/>
          <w:lang w:val="en-AU"/>
        </w:rPr>
        <w:t xml:space="preserve">over time </w:t>
      </w:r>
      <w:r w:rsidRPr="008B1600">
        <w:rPr>
          <w:rFonts w:ascii="Cambria" w:hAnsi="Cambria"/>
          <w:lang w:val="en-AU"/>
        </w:rPr>
        <w:t>encourage complaints and prosecutions.</w:t>
      </w:r>
      <w:r>
        <w:rPr>
          <w:rFonts w:ascii="Cambria" w:hAnsi="Cambria"/>
          <w:lang w:val="en-AU"/>
        </w:rPr>
        <w:t xml:space="preserve"> </w:t>
      </w:r>
      <w:r w:rsidRPr="008B1600">
        <w:rPr>
          <w:rFonts w:ascii="Cambria" w:hAnsi="Cambria"/>
          <w:lang w:val="en-AU"/>
        </w:rPr>
        <w:t xml:space="preserve">    </w:t>
      </w:r>
    </w:p>
    <w:p w14:paraId="082F10F7" w14:textId="77777777" w:rsidR="005C7524" w:rsidRPr="00EE2DCD" w:rsidRDefault="005C7524" w:rsidP="005C7524">
      <w:pPr>
        <w:pStyle w:val="xmsonormal"/>
        <w:shd w:val="clear" w:color="auto" w:fill="FFFFFF"/>
        <w:spacing w:before="0" w:beforeAutospacing="0" w:after="0" w:afterAutospacing="0"/>
        <w:jc w:val="both"/>
        <w:rPr>
          <w:rFonts w:ascii="Calibri" w:hAnsi="Calibri"/>
          <w:color w:val="000000"/>
        </w:rPr>
      </w:pPr>
      <w:bookmarkStart w:id="0" w:name="OLE_LINK1"/>
    </w:p>
    <w:p w14:paraId="10AA8A6E" w14:textId="77777777" w:rsidR="005C7524" w:rsidRPr="00EE2DCD" w:rsidRDefault="005C7524" w:rsidP="005C7524">
      <w:pPr>
        <w:pStyle w:val="xmsonormal"/>
        <w:shd w:val="clear" w:color="auto" w:fill="FFFFFF"/>
        <w:spacing w:before="0" w:beforeAutospacing="0" w:after="0" w:afterAutospacing="0"/>
        <w:jc w:val="both"/>
        <w:rPr>
          <w:rFonts w:ascii="Calibri" w:hAnsi="Calibri"/>
          <w:color w:val="000000"/>
        </w:rPr>
      </w:pPr>
      <w:r w:rsidRPr="00EE2DCD">
        <w:rPr>
          <w:rFonts w:ascii="Cambria" w:hAnsi="Cambria"/>
        </w:rPr>
        <w:t xml:space="preserve">If you have any queries, or would like to discuss our submission further, please do not hesitate to contact us. </w:t>
      </w:r>
    </w:p>
    <w:p w14:paraId="798D685D" w14:textId="77777777" w:rsidR="005C7524" w:rsidRPr="00EE2DCD" w:rsidRDefault="005C7524" w:rsidP="005C7524">
      <w:pPr>
        <w:rPr>
          <w:rFonts w:ascii="Cambria" w:hAnsi="Cambria"/>
          <w:lang w:val="en-AU"/>
        </w:rPr>
      </w:pPr>
    </w:p>
    <w:p w14:paraId="2306D65C" w14:textId="77777777" w:rsidR="000A135C" w:rsidRDefault="000A135C" w:rsidP="005C7524">
      <w:pPr>
        <w:rPr>
          <w:rFonts w:ascii="Cambria" w:hAnsi="Cambria"/>
          <w:lang w:val="en-AU"/>
        </w:rPr>
      </w:pPr>
    </w:p>
    <w:p w14:paraId="40E99FC9" w14:textId="654BABB3" w:rsidR="005C7524" w:rsidRPr="00EE2DCD" w:rsidRDefault="005C7524" w:rsidP="005C7524">
      <w:pPr>
        <w:rPr>
          <w:rFonts w:ascii="Cambria" w:hAnsi="Cambria"/>
          <w:lang w:val="en-AU"/>
        </w:rPr>
      </w:pPr>
      <w:r w:rsidRPr="00EE2DCD">
        <w:rPr>
          <w:rFonts w:ascii="Cambria" w:hAnsi="Cambria"/>
          <w:lang w:val="en-AU"/>
        </w:rPr>
        <w:t>Yours faithfully,</w:t>
      </w:r>
    </w:p>
    <w:bookmarkEnd w:id="0"/>
    <w:p w14:paraId="5DA3C05A" w14:textId="77777777" w:rsidR="005C7524" w:rsidRPr="00EE2DCD" w:rsidRDefault="005C7524" w:rsidP="005C7524">
      <w:pPr>
        <w:rPr>
          <w:rFonts w:ascii="Cambria" w:hAnsi="Cambria"/>
          <w:lang w:val="en-AU"/>
        </w:rPr>
      </w:pPr>
    </w:p>
    <w:p w14:paraId="6E1730D5" w14:textId="77777777" w:rsidR="005C7524" w:rsidRPr="00EE2DCD" w:rsidRDefault="005C7524" w:rsidP="005C7524">
      <w:pPr>
        <w:rPr>
          <w:rFonts w:ascii="Cambria" w:hAnsi="Cambria"/>
          <w:lang w:val="en-AU"/>
        </w:rPr>
      </w:pPr>
    </w:p>
    <w:p w14:paraId="0AB94A0D" w14:textId="77777777" w:rsidR="005C7524" w:rsidRPr="00EE2DCD" w:rsidRDefault="005C7524" w:rsidP="005C7524">
      <w:pPr>
        <w:rPr>
          <w:rFonts w:ascii="Cambria" w:hAnsi="Cambria"/>
          <w:lang w:val="en-AU"/>
        </w:rPr>
      </w:pPr>
      <w:r w:rsidRPr="00EE2DCD">
        <w:rPr>
          <w:rFonts w:ascii="Cambria" w:hAnsi="Cambria"/>
          <w:lang w:val="en-AU"/>
        </w:rPr>
        <w:t>Benedict Bartl</w:t>
      </w:r>
    </w:p>
    <w:p w14:paraId="015A9324" w14:textId="77777777" w:rsidR="005C7524" w:rsidRPr="00EE2DCD" w:rsidRDefault="005C7524" w:rsidP="005C7524">
      <w:pPr>
        <w:rPr>
          <w:rFonts w:ascii="Cambria" w:hAnsi="Cambria"/>
          <w:lang w:val="en-AU"/>
        </w:rPr>
      </w:pPr>
      <w:r w:rsidRPr="00EE2DCD">
        <w:rPr>
          <w:rFonts w:ascii="Cambria" w:hAnsi="Cambria"/>
          <w:lang w:val="en-AU"/>
        </w:rPr>
        <w:t>Policy Officer</w:t>
      </w:r>
    </w:p>
    <w:p w14:paraId="0ACB8B52" w14:textId="77777777" w:rsidR="005C7524" w:rsidRPr="00251BF9" w:rsidRDefault="005C7524" w:rsidP="005C7524">
      <w:pPr>
        <w:pBdr>
          <w:bottom w:val="single" w:sz="6" w:space="1" w:color="auto"/>
        </w:pBdr>
        <w:rPr>
          <w:rFonts w:ascii="Cambria" w:hAnsi="Cambria"/>
          <w:b/>
          <w:bCs/>
          <w:lang w:val="en-AU"/>
        </w:rPr>
      </w:pPr>
      <w:r w:rsidRPr="00EE2DCD">
        <w:rPr>
          <w:rFonts w:ascii="Cambria" w:hAnsi="Cambria"/>
          <w:b/>
          <w:bCs/>
          <w:lang w:val="en-AU"/>
        </w:rPr>
        <w:t>Community Legal Centres Tasmania</w:t>
      </w:r>
    </w:p>
    <w:p w14:paraId="2E79D025" w14:textId="77777777" w:rsidR="000C5170" w:rsidRDefault="000C5170"/>
    <w:sectPr w:rsidR="000C5170" w:rsidSect="00215FCE">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CC113" w14:textId="77777777" w:rsidR="00CE70BF" w:rsidRDefault="00CE70BF" w:rsidP="005C7524">
      <w:r>
        <w:separator/>
      </w:r>
    </w:p>
  </w:endnote>
  <w:endnote w:type="continuationSeparator" w:id="0">
    <w:p w14:paraId="4D4D4BEC" w14:textId="77777777" w:rsidR="00CE70BF" w:rsidRDefault="00CE70BF" w:rsidP="005C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altName w:val="Gill Sans"/>
    <w:panose1 w:val="020B0502020104020203"/>
    <w:charset w:val="4D"/>
    <w:family w:val="swiss"/>
    <w:pitch w:val="variable"/>
    <w:sig w:usb0="00000003" w:usb1="00000000" w:usb2="00000000" w:usb3="00000000" w:csb0="00000003"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1108557"/>
      <w:docPartObj>
        <w:docPartGallery w:val="Page Numbers (Bottom of Page)"/>
        <w:docPartUnique/>
      </w:docPartObj>
    </w:sdtPr>
    <w:sdtEndPr>
      <w:rPr>
        <w:rStyle w:val="PageNumber"/>
      </w:rPr>
    </w:sdtEndPr>
    <w:sdtContent>
      <w:p w14:paraId="711A96F7" w14:textId="77777777" w:rsidR="00B90B1A" w:rsidRDefault="006F606B"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1E780B" w14:textId="77777777" w:rsidR="00B90B1A" w:rsidRDefault="00CE70BF" w:rsidP="00B90B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5691377"/>
      <w:docPartObj>
        <w:docPartGallery w:val="Page Numbers (Bottom of Page)"/>
        <w:docPartUnique/>
      </w:docPartObj>
    </w:sdtPr>
    <w:sdtEndPr>
      <w:rPr>
        <w:rStyle w:val="PageNumber"/>
      </w:rPr>
    </w:sdtEndPr>
    <w:sdtContent>
      <w:p w14:paraId="77BB4AD4" w14:textId="77777777" w:rsidR="00B90B1A" w:rsidRDefault="006F606B"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328C64" w14:textId="77777777" w:rsidR="00B90B1A" w:rsidRDefault="00CE70BF" w:rsidP="00B90B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D25D9" w14:textId="77777777" w:rsidR="00CE70BF" w:rsidRDefault="00CE70BF" w:rsidP="005C7524">
      <w:r>
        <w:separator/>
      </w:r>
    </w:p>
  </w:footnote>
  <w:footnote w:type="continuationSeparator" w:id="0">
    <w:p w14:paraId="1B1D8DE4" w14:textId="77777777" w:rsidR="00CE70BF" w:rsidRDefault="00CE70BF" w:rsidP="005C7524">
      <w:r>
        <w:continuationSeparator/>
      </w:r>
    </w:p>
  </w:footnote>
  <w:footnote w:id="1">
    <w:p w14:paraId="77C73DF4" w14:textId="77777777" w:rsidR="005C7524" w:rsidRPr="00190EB0" w:rsidRDefault="005C7524" w:rsidP="005C7524">
      <w:pPr>
        <w:pStyle w:val="FootnoteText"/>
        <w:rPr>
          <w:rFonts w:ascii="Cambria" w:hAnsi="Cambria"/>
          <w:lang w:val="en-AU"/>
        </w:rPr>
      </w:pPr>
      <w:r w:rsidRPr="00190EB0">
        <w:rPr>
          <w:rStyle w:val="FootnoteReference"/>
          <w:rFonts w:ascii="Cambria" w:hAnsi="Cambria"/>
          <w:lang w:val="en-AU"/>
        </w:rPr>
        <w:footnoteRef/>
      </w:r>
      <w:r w:rsidRPr="00190EB0">
        <w:rPr>
          <w:rFonts w:ascii="Cambria" w:hAnsi="Cambria"/>
          <w:lang w:val="en-AU"/>
        </w:rPr>
        <w:t xml:space="preserve"> </w:t>
      </w:r>
      <w:r w:rsidRPr="00190EB0">
        <w:rPr>
          <w:rFonts w:ascii="Cambria" w:hAnsi="Cambria"/>
          <w:sz w:val="20"/>
          <w:szCs w:val="20"/>
          <w:lang w:val="en-AU"/>
        </w:rPr>
        <w:t xml:space="preserve">CLC Tas would like to acknowledge those persons and organisations who gave freely of their time in assisting with our submission. </w:t>
      </w:r>
    </w:p>
  </w:footnote>
  <w:footnote w:id="2">
    <w:p w14:paraId="31A0B067" w14:textId="40AB6A9B" w:rsidR="005C7524" w:rsidRPr="00190EB0" w:rsidRDefault="005C7524" w:rsidP="005C7524">
      <w:pPr>
        <w:pStyle w:val="FootnoteText"/>
        <w:rPr>
          <w:rFonts w:ascii="Cambria" w:hAnsi="Cambria"/>
          <w:lang w:val="en-AU"/>
        </w:rPr>
      </w:pPr>
      <w:r w:rsidRPr="00190EB0">
        <w:rPr>
          <w:rStyle w:val="FootnoteReference"/>
          <w:rFonts w:ascii="Cambria" w:hAnsi="Cambria"/>
        </w:rPr>
        <w:footnoteRef/>
      </w:r>
      <w:r w:rsidRPr="00190EB0">
        <w:rPr>
          <w:rFonts w:ascii="Cambria" w:hAnsi="Cambria"/>
        </w:rPr>
        <w:t xml:space="preserve"> </w:t>
      </w:r>
      <w:r w:rsidRPr="00190EB0">
        <w:rPr>
          <w:rFonts w:ascii="Cambria" w:hAnsi="Cambria"/>
          <w:sz w:val="20"/>
          <w:szCs w:val="20"/>
          <w:lang w:val="en-AU"/>
        </w:rPr>
        <w:t xml:space="preserve">Australian Bureau of Statistics, ‘Recorded Crime – Victims’. As found at </w:t>
      </w:r>
      <w:hyperlink r:id="rId1" w:anchor="victims-of-family-and-domestic-violence-related-offences" w:history="1">
        <w:r w:rsidRPr="00190EB0">
          <w:rPr>
            <w:rStyle w:val="Hyperlink"/>
            <w:rFonts w:ascii="Cambria" w:hAnsi="Cambria"/>
            <w:sz w:val="20"/>
            <w:szCs w:val="20"/>
            <w:lang w:val="en-AU"/>
          </w:rPr>
          <w:t>https://www.abs.gov.au/statistics/people/crime-and-justice/recorded-crime-victims/2020#victims-of-family-and-domestic-violence-related-offences</w:t>
        </w:r>
      </w:hyperlink>
      <w:r w:rsidRPr="00190EB0">
        <w:rPr>
          <w:rFonts w:ascii="Cambria" w:hAnsi="Cambria"/>
          <w:sz w:val="20"/>
          <w:szCs w:val="20"/>
          <w:lang w:val="en-AU"/>
        </w:rPr>
        <w:t xml:space="preserve"> (Accessed </w:t>
      </w:r>
      <w:r w:rsidR="00190EB0" w:rsidRPr="00190EB0">
        <w:rPr>
          <w:rFonts w:ascii="Cambria" w:hAnsi="Cambria"/>
          <w:sz w:val="20"/>
          <w:szCs w:val="20"/>
          <w:lang w:val="en-AU"/>
        </w:rPr>
        <w:t xml:space="preserve">18 February </w:t>
      </w:r>
      <w:r w:rsidRPr="00190EB0">
        <w:rPr>
          <w:rFonts w:ascii="Cambria" w:hAnsi="Cambria"/>
          <w:sz w:val="20"/>
          <w:szCs w:val="20"/>
          <w:lang w:val="en-AU"/>
        </w:rPr>
        <w:t>202</w:t>
      </w:r>
      <w:r w:rsidR="00190EB0" w:rsidRPr="00190EB0">
        <w:rPr>
          <w:rFonts w:ascii="Cambria" w:hAnsi="Cambria"/>
          <w:sz w:val="20"/>
          <w:szCs w:val="20"/>
          <w:lang w:val="en-AU"/>
        </w:rPr>
        <w:t>2</w:t>
      </w:r>
      <w:r w:rsidRPr="00190EB0">
        <w:rPr>
          <w:rFonts w:ascii="Cambria" w:hAnsi="Cambria"/>
          <w:sz w:val="20"/>
          <w:szCs w:val="20"/>
          <w:lang w:val="en-AU"/>
        </w:rPr>
        <w:t>).</w:t>
      </w:r>
      <w:r w:rsidRPr="00190EB0">
        <w:rPr>
          <w:rFonts w:ascii="Cambria" w:hAnsi="Cambria"/>
          <w:lang w:val="en-AU"/>
        </w:rPr>
        <w:t xml:space="preserve"> </w:t>
      </w:r>
    </w:p>
  </w:footnote>
  <w:footnote w:id="3">
    <w:p w14:paraId="7C9C3582" w14:textId="492787D8" w:rsidR="005C7524" w:rsidRPr="00190EB0" w:rsidRDefault="005C7524" w:rsidP="005C7524">
      <w:pPr>
        <w:pStyle w:val="FootnoteText"/>
        <w:rPr>
          <w:rFonts w:ascii="Cambria" w:hAnsi="Cambria"/>
          <w:lang w:val="en-AU"/>
        </w:rPr>
      </w:pPr>
      <w:r w:rsidRPr="00190EB0">
        <w:rPr>
          <w:rStyle w:val="FootnoteReference"/>
          <w:rFonts w:ascii="Cambria" w:hAnsi="Cambria"/>
        </w:rPr>
        <w:footnoteRef/>
      </w:r>
      <w:r w:rsidRPr="00190EB0">
        <w:rPr>
          <w:rFonts w:ascii="Cambria" w:hAnsi="Cambria"/>
        </w:rPr>
        <w:t xml:space="preserve"> </w:t>
      </w:r>
      <w:r w:rsidRPr="00190EB0">
        <w:rPr>
          <w:rFonts w:ascii="Cambria" w:hAnsi="Cambria"/>
          <w:sz w:val="20"/>
          <w:szCs w:val="20"/>
          <w:lang w:val="en-AU"/>
        </w:rPr>
        <w:t>Australian Bureau of Statistics, ‘Recorded Crime – Victims’.</w:t>
      </w:r>
      <w:r w:rsidRPr="00190EB0">
        <w:rPr>
          <w:rFonts w:ascii="Cambria" w:hAnsi="Cambria"/>
          <w:lang w:val="en-AU"/>
        </w:rPr>
        <w:t xml:space="preserve"> </w:t>
      </w:r>
    </w:p>
  </w:footnote>
  <w:footnote w:id="4">
    <w:p w14:paraId="7B408D28" w14:textId="68230A1A" w:rsidR="005C7524" w:rsidRPr="00190EB0" w:rsidRDefault="005C7524" w:rsidP="005C7524">
      <w:pPr>
        <w:rPr>
          <w:rFonts w:ascii="Cambria" w:hAnsi="Cambria"/>
          <w:lang w:val="en-AU" w:eastAsia="en-GB"/>
        </w:rPr>
      </w:pPr>
      <w:r w:rsidRPr="00190EB0">
        <w:rPr>
          <w:rStyle w:val="FootnoteReference"/>
          <w:rFonts w:ascii="Cambria" w:hAnsi="Cambria"/>
        </w:rPr>
        <w:footnoteRef/>
      </w:r>
      <w:r w:rsidRPr="00190EB0">
        <w:rPr>
          <w:rFonts w:ascii="Cambria" w:hAnsi="Cambria"/>
        </w:rPr>
        <w:t xml:space="preserve"> </w:t>
      </w:r>
      <w:r w:rsidRPr="00190EB0">
        <w:rPr>
          <w:rFonts w:ascii="Cambria" w:hAnsi="Cambria"/>
          <w:sz w:val="20"/>
          <w:szCs w:val="20"/>
          <w:lang w:val="en-AU" w:eastAsia="en-GB"/>
        </w:rPr>
        <w:t xml:space="preserve">Australian Institute of Health and Welfare, </w:t>
      </w:r>
      <w:r w:rsidRPr="00190EB0">
        <w:rPr>
          <w:rFonts w:ascii="Cambria" w:hAnsi="Cambria"/>
          <w:i/>
          <w:iCs/>
          <w:sz w:val="20"/>
          <w:szCs w:val="20"/>
          <w:lang w:val="en-AU" w:eastAsia="en-GB"/>
        </w:rPr>
        <w:t>Specialist Homelessness Services Annual Report 2019-20</w:t>
      </w:r>
      <w:r w:rsidRPr="00190EB0">
        <w:rPr>
          <w:rFonts w:ascii="Cambria" w:hAnsi="Cambria"/>
          <w:sz w:val="20"/>
          <w:szCs w:val="20"/>
          <w:lang w:val="en-AU" w:eastAsia="en-GB"/>
        </w:rPr>
        <w:t xml:space="preserve">. As found at </w:t>
      </w:r>
      <w:hyperlink r:id="rId2" w:history="1">
        <w:r w:rsidRPr="00190EB0">
          <w:rPr>
            <w:rStyle w:val="Hyperlink"/>
            <w:rFonts w:ascii="Cambria" w:hAnsi="Cambria"/>
            <w:sz w:val="20"/>
            <w:szCs w:val="20"/>
            <w:lang w:val="en-AU" w:eastAsia="en-GB"/>
          </w:rPr>
          <w:t>https://www.aihw.gov.au/reports/homelessness-services/specialist-homelessness-services-annual-report/contents/summary</w:t>
        </w:r>
      </w:hyperlink>
      <w:r w:rsidRPr="00190EB0">
        <w:rPr>
          <w:rFonts w:ascii="Cambria" w:hAnsi="Cambria"/>
          <w:sz w:val="20"/>
          <w:szCs w:val="20"/>
          <w:lang w:val="en-AU" w:eastAsia="en-GB"/>
        </w:rPr>
        <w:t xml:space="preserve"> </w:t>
      </w:r>
      <w:r w:rsidR="00190EB0" w:rsidRPr="00190EB0">
        <w:rPr>
          <w:rFonts w:ascii="Cambria" w:hAnsi="Cambria"/>
          <w:sz w:val="20"/>
          <w:szCs w:val="20"/>
          <w:lang w:val="en-AU"/>
        </w:rPr>
        <w:t>(Accessed 18 February 2022).</w:t>
      </w:r>
    </w:p>
  </w:footnote>
  <w:footnote w:id="5">
    <w:p w14:paraId="76743FBF" w14:textId="081CCD4D" w:rsidR="005C7524" w:rsidRPr="00190EB0" w:rsidRDefault="005C7524" w:rsidP="005C7524">
      <w:pPr>
        <w:pStyle w:val="FootnoteText"/>
        <w:rPr>
          <w:rFonts w:ascii="Cambria" w:hAnsi="Cambria"/>
          <w:lang w:val="en-AU"/>
        </w:rPr>
      </w:pPr>
      <w:r w:rsidRPr="00190EB0">
        <w:rPr>
          <w:rStyle w:val="FootnoteReference"/>
          <w:rFonts w:ascii="Cambria" w:hAnsi="Cambria"/>
        </w:rPr>
        <w:footnoteRef/>
      </w:r>
      <w:r w:rsidRPr="00190EB0">
        <w:rPr>
          <w:rFonts w:ascii="Cambria" w:hAnsi="Cambria"/>
        </w:rPr>
        <w:t xml:space="preserve"> </w:t>
      </w:r>
      <w:r w:rsidRPr="00190EB0">
        <w:rPr>
          <w:rFonts w:ascii="Cambria" w:hAnsi="Cambria"/>
          <w:sz w:val="20"/>
          <w:szCs w:val="20"/>
        </w:rPr>
        <w:t>Correspondence</w:t>
      </w:r>
      <w:r w:rsidRPr="00190EB0">
        <w:rPr>
          <w:rFonts w:ascii="Cambria" w:hAnsi="Cambria"/>
          <w:color w:val="000000" w:themeColor="text1"/>
          <w:sz w:val="20"/>
          <w:szCs w:val="20"/>
          <w:bdr w:val="none" w:sz="0" w:space="0" w:color="auto" w:frame="1"/>
          <w:lang w:val="en-AU"/>
        </w:rPr>
        <w:t xml:space="preserve"> received </w:t>
      </w:r>
      <w:r w:rsidR="007631D5" w:rsidRPr="00190EB0">
        <w:rPr>
          <w:rFonts w:ascii="Cambria" w:hAnsi="Cambria"/>
          <w:color w:val="000000" w:themeColor="text1"/>
          <w:sz w:val="20"/>
          <w:szCs w:val="20"/>
          <w:bdr w:val="none" w:sz="0" w:space="0" w:color="auto" w:frame="1"/>
          <w:lang w:val="en-AU"/>
        </w:rPr>
        <w:t xml:space="preserve">by Tenants’ Union of Tasmania </w:t>
      </w:r>
      <w:r w:rsidRPr="00190EB0">
        <w:rPr>
          <w:rFonts w:ascii="Cambria" w:hAnsi="Cambria"/>
          <w:color w:val="000000" w:themeColor="text1"/>
          <w:sz w:val="20"/>
          <w:szCs w:val="20"/>
          <w:bdr w:val="none" w:sz="0" w:space="0" w:color="auto" w:frame="1"/>
          <w:lang w:val="en-AU"/>
        </w:rPr>
        <w:t>from Kylie Fidanza</w:t>
      </w:r>
      <w:r w:rsidRPr="00190EB0">
        <w:rPr>
          <w:rFonts w:ascii="Cambria" w:hAnsi="Cambria"/>
          <w:color w:val="000000" w:themeColor="text1"/>
          <w:sz w:val="20"/>
          <w:szCs w:val="20"/>
          <w:lang w:val="en-AU"/>
        </w:rPr>
        <w:t>, Principal Performance Advisor with Communities Tasmania on 5</w:t>
      </w:r>
      <w:r w:rsidRPr="00190EB0">
        <w:rPr>
          <w:rFonts w:ascii="Cambria" w:hAnsi="Cambria"/>
          <w:color w:val="000000" w:themeColor="text1"/>
          <w:sz w:val="20"/>
          <w:szCs w:val="20"/>
          <w:vertAlign w:val="superscript"/>
          <w:lang w:val="en-AU"/>
        </w:rPr>
        <w:t xml:space="preserve"> </w:t>
      </w:r>
      <w:r w:rsidRPr="00190EB0">
        <w:rPr>
          <w:rFonts w:ascii="Cambria" w:hAnsi="Cambria"/>
          <w:color w:val="000000" w:themeColor="text1"/>
          <w:sz w:val="20"/>
          <w:szCs w:val="20"/>
          <w:lang w:val="en-AU"/>
        </w:rPr>
        <w:t>July 2021</w:t>
      </w:r>
      <w:r w:rsidR="005D0469" w:rsidRPr="00190EB0">
        <w:rPr>
          <w:rFonts w:ascii="Cambria" w:hAnsi="Cambria"/>
          <w:color w:val="000000" w:themeColor="text1"/>
          <w:sz w:val="20"/>
          <w:szCs w:val="20"/>
          <w:lang w:val="en-AU"/>
        </w:rPr>
        <w:t xml:space="preserve"> and Reece Munnings Acting Lead Housing Analyst with Communities Tasmania on 12 January 2022. </w:t>
      </w:r>
    </w:p>
  </w:footnote>
  <w:footnote w:id="6">
    <w:p w14:paraId="78986EA0" w14:textId="5055B229" w:rsidR="00B57722" w:rsidRPr="00190EB0" w:rsidRDefault="00B57722" w:rsidP="00B57722">
      <w:pPr>
        <w:pStyle w:val="NoSpacing"/>
        <w:rPr>
          <w:rFonts w:ascii="Cambria" w:hAnsi="Cambria"/>
          <w:color w:val="000000" w:themeColor="text1"/>
        </w:rPr>
      </w:pPr>
      <w:r w:rsidRPr="00190EB0">
        <w:rPr>
          <w:rStyle w:val="FootnoteReference"/>
          <w:rFonts w:ascii="Cambria" w:hAnsi="Cambria"/>
          <w:color w:val="000000" w:themeColor="text1"/>
        </w:rPr>
        <w:footnoteRef/>
      </w:r>
      <w:r w:rsidRPr="00190EB0">
        <w:rPr>
          <w:rFonts w:ascii="Cambria" w:hAnsi="Cambria"/>
          <w:color w:val="000000" w:themeColor="text1"/>
        </w:rPr>
        <w:t xml:space="preserve"> </w:t>
      </w:r>
      <w:r w:rsidRPr="00190EB0">
        <w:rPr>
          <w:rFonts w:ascii="Cambria" w:hAnsi="Cambria"/>
          <w:color w:val="000000" w:themeColor="text1"/>
          <w:sz w:val="20"/>
          <w:szCs w:val="20"/>
        </w:rPr>
        <w:t>S</w:t>
      </w:r>
      <w:r w:rsidR="007631D5" w:rsidRPr="00190EB0">
        <w:rPr>
          <w:rFonts w:ascii="Cambria" w:hAnsi="Cambria"/>
          <w:color w:val="000000" w:themeColor="text1"/>
          <w:sz w:val="20"/>
          <w:szCs w:val="20"/>
        </w:rPr>
        <w:t>usan</w:t>
      </w:r>
      <w:r w:rsidRPr="00190EB0">
        <w:rPr>
          <w:rFonts w:ascii="Cambria" w:hAnsi="Cambria"/>
          <w:color w:val="000000" w:themeColor="text1"/>
          <w:sz w:val="20"/>
          <w:szCs w:val="20"/>
        </w:rPr>
        <w:t xml:space="preserve"> Sorensen, M</w:t>
      </w:r>
      <w:r w:rsidR="007631D5" w:rsidRPr="00190EB0">
        <w:rPr>
          <w:rFonts w:ascii="Cambria" w:hAnsi="Cambria"/>
          <w:color w:val="000000" w:themeColor="text1"/>
          <w:sz w:val="20"/>
          <w:szCs w:val="20"/>
        </w:rPr>
        <w:t>anisha</w:t>
      </w:r>
      <w:r w:rsidRPr="00190EB0">
        <w:rPr>
          <w:rFonts w:ascii="Cambria" w:hAnsi="Cambria"/>
          <w:color w:val="000000" w:themeColor="text1"/>
          <w:sz w:val="20"/>
          <w:szCs w:val="20"/>
        </w:rPr>
        <w:t xml:space="preserve"> Joshi and E</w:t>
      </w:r>
      <w:r w:rsidR="007631D5" w:rsidRPr="00190EB0">
        <w:rPr>
          <w:rFonts w:ascii="Cambria" w:hAnsi="Cambria"/>
          <w:color w:val="000000" w:themeColor="text1"/>
          <w:sz w:val="20"/>
          <w:szCs w:val="20"/>
        </w:rPr>
        <w:t>lizabeth</w:t>
      </w:r>
      <w:r w:rsidRPr="00190EB0">
        <w:rPr>
          <w:rFonts w:ascii="Cambria" w:hAnsi="Cambria"/>
          <w:color w:val="000000" w:themeColor="text1"/>
          <w:sz w:val="20"/>
          <w:szCs w:val="20"/>
        </w:rPr>
        <w:t xml:space="preserve"> </w:t>
      </w:r>
      <w:proofErr w:type="spellStart"/>
      <w:r w:rsidRPr="00190EB0">
        <w:rPr>
          <w:rFonts w:ascii="Cambria" w:hAnsi="Cambria"/>
          <w:color w:val="000000" w:themeColor="text1"/>
          <w:sz w:val="20"/>
          <w:szCs w:val="20"/>
        </w:rPr>
        <w:t>Sivitz</w:t>
      </w:r>
      <w:proofErr w:type="spellEnd"/>
      <w:r w:rsidRPr="00190EB0">
        <w:rPr>
          <w:rFonts w:ascii="Cambria" w:hAnsi="Cambria"/>
          <w:color w:val="000000" w:themeColor="text1"/>
          <w:sz w:val="20"/>
          <w:szCs w:val="20"/>
        </w:rPr>
        <w:t xml:space="preserve">, </w:t>
      </w:r>
      <w:r w:rsidR="007631D5" w:rsidRPr="00190EB0">
        <w:rPr>
          <w:rFonts w:ascii="Cambria" w:hAnsi="Cambria"/>
          <w:color w:val="000000" w:themeColor="text1"/>
          <w:sz w:val="20"/>
          <w:szCs w:val="20"/>
        </w:rPr>
        <w:t xml:space="preserve">A </w:t>
      </w:r>
      <w:r w:rsidRPr="00190EB0">
        <w:rPr>
          <w:rFonts w:ascii="Cambria" w:hAnsi="Cambria"/>
          <w:color w:val="000000" w:themeColor="text1"/>
          <w:sz w:val="20"/>
          <w:szCs w:val="20"/>
        </w:rPr>
        <w:t>Systemic Review of the Epidemiology of Nonfatal Strangulation, a Human Rights and Health Concern</w:t>
      </w:r>
      <w:r w:rsidR="007631D5" w:rsidRPr="00190EB0">
        <w:rPr>
          <w:rFonts w:ascii="Cambria" w:hAnsi="Cambria"/>
          <w:color w:val="000000" w:themeColor="text1"/>
          <w:sz w:val="20"/>
          <w:szCs w:val="20"/>
        </w:rPr>
        <w:t xml:space="preserve"> (2014) 104(11)</w:t>
      </w:r>
      <w:r w:rsidRPr="00190EB0">
        <w:rPr>
          <w:rFonts w:ascii="Cambria" w:hAnsi="Cambria"/>
          <w:color w:val="000000" w:themeColor="text1"/>
          <w:sz w:val="20"/>
          <w:szCs w:val="20"/>
        </w:rPr>
        <w:t xml:space="preserve"> </w:t>
      </w:r>
      <w:r w:rsidRPr="00190EB0">
        <w:rPr>
          <w:rFonts w:ascii="Cambria" w:hAnsi="Cambria"/>
          <w:i/>
          <w:iCs/>
          <w:color w:val="000000" w:themeColor="text1"/>
          <w:sz w:val="20"/>
          <w:szCs w:val="20"/>
        </w:rPr>
        <w:t>American Journal of Public Health</w:t>
      </w:r>
      <w:r w:rsidRPr="00190EB0">
        <w:rPr>
          <w:rFonts w:ascii="Cambria" w:hAnsi="Cambria"/>
          <w:color w:val="000000" w:themeColor="text1"/>
          <w:sz w:val="20"/>
          <w:szCs w:val="20"/>
        </w:rPr>
        <w:t xml:space="preserve"> (2014)</w:t>
      </w:r>
      <w:r w:rsidR="007631D5" w:rsidRPr="00190EB0">
        <w:rPr>
          <w:rFonts w:ascii="Cambria" w:hAnsi="Cambria"/>
          <w:color w:val="000000" w:themeColor="text1"/>
          <w:sz w:val="20"/>
          <w:szCs w:val="20"/>
        </w:rPr>
        <w:t xml:space="preserve"> at </w:t>
      </w:r>
      <w:r w:rsidRPr="00190EB0">
        <w:rPr>
          <w:rFonts w:ascii="Cambria" w:hAnsi="Cambria"/>
          <w:color w:val="000000" w:themeColor="text1"/>
          <w:sz w:val="20"/>
          <w:szCs w:val="20"/>
        </w:rPr>
        <w:t>57</w:t>
      </w:r>
      <w:r w:rsidR="007631D5" w:rsidRPr="00190EB0">
        <w:rPr>
          <w:rFonts w:ascii="Cambria" w:hAnsi="Cambria"/>
          <w:color w:val="000000" w:themeColor="text1"/>
          <w:sz w:val="20"/>
          <w:szCs w:val="20"/>
        </w:rPr>
        <w:t xml:space="preserve">. </w:t>
      </w:r>
    </w:p>
  </w:footnote>
  <w:footnote w:id="7">
    <w:p w14:paraId="0AD8E504" w14:textId="2C36151E" w:rsidR="00B57722" w:rsidRPr="00190EB0" w:rsidRDefault="00B57722" w:rsidP="00B57722">
      <w:pPr>
        <w:pStyle w:val="FootnoteText"/>
        <w:rPr>
          <w:rFonts w:ascii="Cambria" w:hAnsi="Cambria"/>
          <w:color w:val="000000" w:themeColor="text1"/>
          <w:lang w:val="en-AU"/>
        </w:rPr>
      </w:pPr>
      <w:r w:rsidRPr="00190EB0">
        <w:rPr>
          <w:rStyle w:val="FootnoteReference"/>
          <w:rFonts w:ascii="Cambria" w:hAnsi="Cambria"/>
          <w:color w:val="000000" w:themeColor="text1"/>
        </w:rPr>
        <w:footnoteRef/>
      </w:r>
      <w:r w:rsidRPr="00190EB0">
        <w:rPr>
          <w:rFonts w:ascii="Cambria" w:hAnsi="Cambria"/>
          <w:color w:val="000000" w:themeColor="text1"/>
        </w:rPr>
        <w:t xml:space="preserve"> </w:t>
      </w:r>
      <w:r w:rsidR="007631D5" w:rsidRPr="00190EB0">
        <w:rPr>
          <w:rFonts w:ascii="Cambria" w:hAnsi="Cambria"/>
          <w:color w:val="000000" w:themeColor="text1"/>
          <w:sz w:val="20"/>
          <w:szCs w:val="20"/>
        </w:rPr>
        <w:t xml:space="preserve">Heather Douglas and Robin Fitzgerald, Strangulation, Domestic Violence and the Legal Response (2014) 36(2) </w:t>
      </w:r>
      <w:r w:rsidR="007631D5" w:rsidRPr="00190EB0">
        <w:rPr>
          <w:rFonts w:ascii="Cambria" w:hAnsi="Cambria"/>
          <w:i/>
          <w:iCs/>
          <w:color w:val="000000" w:themeColor="text1"/>
          <w:sz w:val="20"/>
          <w:szCs w:val="20"/>
        </w:rPr>
        <w:t>Sydney Law Review</w:t>
      </w:r>
      <w:r w:rsidR="007631D5" w:rsidRPr="00190EB0">
        <w:rPr>
          <w:rFonts w:ascii="Cambria" w:hAnsi="Cambria"/>
          <w:color w:val="000000" w:themeColor="text1"/>
          <w:sz w:val="20"/>
          <w:szCs w:val="20"/>
        </w:rPr>
        <w:t xml:space="preserve">  231 at 246.</w:t>
      </w:r>
    </w:p>
  </w:footnote>
  <w:footnote w:id="8">
    <w:p w14:paraId="488EB01E" w14:textId="1A14FD07" w:rsidR="007631D5" w:rsidRPr="00190EB0" w:rsidRDefault="007631D5" w:rsidP="007631D5">
      <w:pPr>
        <w:rPr>
          <w:rFonts w:ascii="Cambria" w:hAnsi="Cambria"/>
          <w:sz w:val="20"/>
          <w:szCs w:val="20"/>
          <w:lang w:val="en-AU"/>
        </w:rPr>
      </w:pPr>
      <w:r w:rsidRPr="00190EB0">
        <w:rPr>
          <w:rStyle w:val="FootnoteReference"/>
          <w:rFonts w:ascii="Cambria" w:hAnsi="Cambria"/>
        </w:rPr>
        <w:footnoteRef/>
      </w:r>
      <w:r w:rsidRPr="00190EB0">
        <w:rPr>
          <w:rFonts w:ascii="Cambria" w:hAnsi="Cambria"/>
        </w:rPr>
        <w:t xml:space="preserve"> </w:t>
      </w:r>
      <w:r w:rsidRPr="00190EB0">
        <w:rPr>
          <w:rFonts w:ascii="Cambria" w:hAnsi="Cambria"/>
          <w:sz w:val="20"/>
          <w:szCs w:val="20"/>
          <w:lang w:val="en-AU"/>
        </w:rPr>
        <w:t xml:space="preserve">See, for example, Sentencing Advisory Council, </w:t>
      </w:r>
      <w:r w:rsidRPr="00190EB0">
        <w:rPr>
          <w:rFonts w:ascii="Cambria" w:hAnsi="Cambria"/>
          <w:i/>
          <w:iCs/>
          <w:sz w:val="20"/>
          <w:szCs w:val="20"/>
          <w:lang w:val="en-AU"/>
        </w:rPr>
        <w:t>Sentencing for non-fatal strangulation</w:t>
      </w:r>
      <w:r w:rsidRPr="00190EB0">
        <w:rPr>
          <w:rFonts w:ascii="Cambria" w:hAnsi="Cambria"/>
          <w:sz w:val="20"/>
          <w:szCs w:val="20"/>
          <w:lang w:val="en-AU"/>
        </w:rPr>
        <w:t xml:space="preserve"> (Research Paper No. 5) (May 2021) at 6-9. As found at </w:t>
      </w:r>
    </w:p>
    <w:p w14:paraId="6DAEE014" w14:textId="73122A7E" w:rsidR="007631D5" w:rsidRPr="00190EB0" w:rsidRDefault="00CE70BF" w:rsidP="007631D5">
      <w:pPr>
        <w:pStyle w:val="FootnoteText"/>
        <w:rPr>
          <w:rFonts w:ascii="Cambria" w:hAnsi="Cambria"/>
          <w:lang w:val="en-AU"/>
        </w:rPr>
      </w:pPr>
      <w:hyperlink r:id="rId3" w:history="1">
        <w:r w:rsidR="007631D5" w:rsidRPr="00190EB0">
          <w:rPr>
            <w:rStyle w:val="Hyperlink"/>
            <w:rFonts w:ascii="Cambria" w:hAnsi="Cambria"/>
            <w:sz w:val="20"/>
            <w:szCs w:val="20"/>
            <w:lang w:val="en-AU"/>
          </w:rPr>
          <w:t>https://www.sentencingcouncil.tas.gov.au/__data/assets/pdf_file/0016/613411/Interim-accessible-version-for-web-site-Sentencing-for-Non-Fatal-Strangulation-paper.pdf</w:t>
        </w:r>
      </w:hyperlink>
      <w:r w:rsidR="007631D5" w:rsidRPr="00190EB0">
        <w:rPr>
          <w:rStyle w:val="Hyperlink"/>
          <w:rFonts w:ascii="Cambria" w:hAnsi="Cambria"/>
          <w:sz w:val="20"/>
          <w:szCs w:val="20"/>
          <w:lang w:val="en-AU"/>
        </w:rPr>
        <w:t xml:space="preserve"> </w:t>
      </w:r>
      <w:r w:rsidR="007631D5" w:rsidRPr="00190EB0">
        <w:rPr>
          <w:rFonts w:ascii="Cambria" w:hAnsi="Cambria"/>
          <w:sz w:val="20"/>
          <w:szCs w:val="20"/>
          <w:lang w:val="en-AU"/>
        </w:rPr>
        <w:t>(Accessed 1</w:t>
      </w:r>
      <w:r w:rsidR="00190EB0" w:rsidRPr="00190EB0">
        <w:rPr>
          <w:rFonts w:ascii="Cambria" w:hAnsi="Cambria"/>
          <w:sz w:val="20"/>
          <w:szCs w:val="20"/>
          <w:lang w:val="en-AU"/>
        </w:rPr>
        <w:t>8</w:t>
      </w:r>
      <w:r w:rsidR="007631D5" w:rsidRPr="00190EB0">
        <w:rPr>
          <w:rFonts w:ascii="Cambria" w:hAnsi="Cambria"/>
          <w:sz w:val="20"/>
          <w:szCs w:val="20"/>
          <w:lang w:val="en-AU"/>
        </w:rPr>
        <w:t xml:space="preserve"> February 2022).</w:t>
      </w:r>
    </w:p>
  </w:footnote>
  <w:footnote w:id="9">
    <w:p w14:paraId="3DD68BB7" w14:textId="30EEDC5B" w:rsidR="00B57722" w:rsidRPr="00190EB0" w:rsidRDefault="00B57722" w:rsidP="00B57722">
      <w:pPr>
        <w:pStyle w:val="FootnoteText"/>
        <w:rPr>
          <w:rFonts w:ascii="Cambria" w:hAnsi="Cambria"/>
          <w:lang w:val="en-AU"/>
        </w:rPr>
      </w:pPr>
      <w:r w:rsidRPr="00190EB0">
        <w:rPr>
          <w:rStyle w:val="FootnoteReference"/>
          <w:rFonts w:ascii="Cambria" w:hAnsi="Cambria"/>
        </w:rPr>
        <w:footnoteRef/>
      </w:r>
      <w:r w:rsidRPr="00190EB0">
        <w:rPr>
          <w:rFonts w:ascii="Cambria" w:hAnsi="Cambria"/>
        </w:rPr>
        <w:t xml:space="preserve"> </w:t>
      </w:r>
      <w:r w:rsidRPr="00190EB0">
        <w:rPr>
          <w:rFonts w:ascii="Cambria" w:hAnsi="Cambria"/>
          <w:sz w:val="20"/>
          <w:szCs w:val="20"/>
        </w:rPr>
        <w:t>N</w:t>
      </w:r>
      <w:r w:rsidR="00926FCB" w:rsidRPr="00190EB0">
        <w:rPr>
          <w:rFonts w:ascii="Cambria" w:hAnsi="Cambria"/>
          <w:sz w:val="20"/>
          <w:szCs w:val="20"/>
        </w:rPr>
        <w:t>ancy</w:t>
      </w:r>
      <w:r w:rsidRPr="00190EB0">
        <w:rPr>
          <w:rFonts w:ascii="Cambria" w:hAnsi="Cambria"/>
          <w:sz w:val="20"/>
          <w:szCs w:val="20"/>
        </w:rPr>
        <w:t xml:space="preserve"> Glass, K</w:t>
      </w:r>
      <w:r w:rsidR="00926FCB" w:rsidRPr="00190EB0">
        <w:rPr>
          <w:rFonts w:ascii="Cambria" w:hAnsi="Cambria"/>
          <w:sz w:val="20"/>
          <w:szCs w:val="20"/>
        </w:rPr>
        <w:t>athryn</w:t>
      </w:r>
      <w:r w:rsidRPr="00190EB0">
        <w:rPr>
          <w:rFonts w:ascii="Cambria" w:hAnsi="Cambria"/>
          <w:sz w:val="20"/>
          <w:szCs w:val="20"/>
        </w:rPr>
        <w:t xml:space="preserve"> </w:t>
      </w:r>
      <w:proofErr w:type="spellStart"/>
      <w:r w:rsidRPr="00190EB0">
        <w:rPr>
          <w:rFonts w:ascii="Cambria" w:hAnsi="Cambria"/>
          <w:sz w:val="20"/>
          <w:szCs w:val="20"/>
        </w:rPr>
        <w:t>Laughon</w:t>
      </w:r>
      <w:proofErr w:type="spellEnd"/>
      <w:r w:rsidRPr="00190EB0">
        <w:rPr>
          <w:rFonts w:ascii="Cambria" w:hAnsi="Cambria"/>
          <w:sz w:val="20"/>
          <w:szCs w:val="20"/>
        </w:rPr>
        <w:t>, J</w:t>
      </w:r>
      <w:r w:rsidR="00926FCB" w:rsidRPr="00190EB0">
        <w:rPr>
          <w:rFonts w:ascii="Cambria" w:hAnsi="Cambria"/>
          <w:sz w:val="20"/>
          <w:szCs w:val="20"/>
        </w:rPr>
        <w:t>acquelyn</w:t>
      </w:r>
      <w:r w:rsidRPr="00190EB0">
        <w:rPr>
          <w:rFonts w:ascii="Cambria" w:hAnsi="Cambria"/>
          <w:sz w:val="20"/>
          <w:szCs w:val="20"/>
        </w:rPr>
        <w:t xml:space="preserve"> Campbell,</w:t>
      </w:r>
      <w:r w:rsidR="00926FCB" w:rsidRPr="00190EB0">
        <w:rPr>
          <w:rFonts w:ascii="Cambria" w:hAnsi="Cambria"/>
          <w:sz w:val="20"/>
          <w:szCs w:val="20"/>
        </w:rPr>
        <w:t xml:space="preserve"> </w:t>
      </w:r>
      <w:r w:rsidRPr="00190EB0">
        <w:rPr>
          <w:rFonts w:ascii="Cambria" w:hAnsi="Cambria"/>
          <w:sz w:val="20"/>
          <w:szCs w:val="20"/>
        </w:rPr>
        <w:t>C</w:t>
      </w:r>
      <w:r w:rsidR="00926FCB" w:rsidRPr="00190EB0">
        <w:rPr>
          <w:rFonts w:ascii="Cambria" w:hAnsi="Cambria"/>
          <w:sz w:val="20"/>
          <w:szCs w:val="20"/>
        </w:rPr>
        <w:t>arolyn</w:t>
      </w:r>
      <w:r w:rsidRPr="00190EB0">
        <w:rPr>
          <w:rFonts w:ascii="Cambria" w:hAnsi="Cambria"/>
          <w:sz w:val="20"/>
          <w:szCs w:val="20"/>
        </w:rPr>
        <w:t xml:space="preserve"> Block, G</w:t>
      </w:r>
      <w:r w:rsidR="00926FCB" w:rsidRPr="00190EB0">
        <w:rPr>
          <w:rFonts w:ascii="Cambria" w:hAnsi="Cambria"/>
          <w:sz w:val="20"/>
          <w:szCs w:val="20"/>
        </w:rPr>
        <w:t>inger</w:t>
      </w:r>
      <w:r w:rsidRPr="00190EB0">
        <w:rPr>
          <w:rFonts w:ascii="Cambria" w:hAnsi="Cambria"/>
          <w:sz w:val="20"/>
          <w:szCs w:val="20"/>
        </w:rPr>
        <w:t xml:space="preserve"> Hanson, P</w:t>
      </w:r>
      <w:r w:rsidR="00926FCB" w:rsidRPr="00190EB0">
        <w:rPr>
          <w:rFonts w:ascii="Cambria" w:hAnsi="Cambria"/>
          <w:sz w:val="20"/>
          <w:szCs w:val="20"/>
        </w:rPr>
        <w:t>hyllis</w:t>
      </w:r>
      <w:r w:rsidRPr="00190EB0">
        <w:rPr>
          <w:rFonts w:ascii="Cambria" w:hAnsi="Cambria"/>
          <w:sz w:val="20"/>
          <w:szCs w:val="20"/>
        </w:rPr>
        <w:t xml:space="preserve"> Sharps and E</w:t>
      </w:r>
      <w:r w:rsidR="00926FCB" w:rsidRPr="00190EB0">
        <w:rPr>
          <w:rFonts w:ascii="Cambria" w:hAnsi="Cambria"/>
          <w:sz w:val="20"/>
          <w:szCs w:val="20"/>
        </w:rPr>
        <w:t>llen</w:t>
      </w:r>
      <w:r w:rsidRPr="00190EB0">
        <w:rPr>
          <w:rFonts w:ascii="Cambria" w:hAnsi="Cambria"/>
          <w:sz w:val="20"/>
          <w:szCs w:val="20"/>
        </w:rPr>
        <w:t xml:space="preserve"> Taliaferro, Non-fatal strangulation is an important risk factor for homicide of Women (2008) 35(3) </w:t>
      </w:r>
      <w:r w:rsidRPr="00190EB0">
        <w:rPr>
          <w:rFonts w:ascii="Cambria" w:hAnsi="Cambria"/>
          <w:i/>
          <w:iCs/>
          <w:sz w:val="20"/>
          <w:szCs w:val="20"/>
        </w:rPr>
        <w:t>Journal of Emergency Medicine</w:t>
      </w:r>
      <w:r w:rsidRPr="00190EB0">
        <w:rPr>
          <w:rFonts w:ascii="Cambria" w:hAnsi="Cambria"/>
          <w:sz w:val="20"/>
          <w:szCs w:val="20"/>
        </w:rPr>
        <w:t xml:space="preserve"> 329</w:t>
      </w:r>
      <w:r w:rsidR="00926FCB" w:rsidRPr="00190EB0">
        <w:rPr>
          <w:rFonts w:ascii="Cambria" w:hAnsi="Cambria"/>
          <w:sz w:val="20"/>
          <w:szCs w:val="20"/>
        </w:rPr>
        <w:t xml:space="preserve"> at 339-340</w:t>
      </w:r>
      <w:r w:rsidRPr="00190EB0">
        <w:rPr>
          <w:rFonts w:ascii="Cambria" w:hAnsi="Cambria"/>
          <w:sz w:val="20"/>
          <w:szCs w:val="20"/>
        </w:rPr>
        <w:t>.</w:t>
      </w:r>
      <w:r w:rsidRPr="00190EB0">
        <w:rPr>
          <w:rFonts w:ascii="Cambria" w:hAnsi="Cambria"/>
        </w:rPr>
        <w:t xml:space="preserve"> </w:t>
      </w:r>
    </w:p>
  </w:footnote>
  <w:footnote w:id="10">
    <w:p w14:paraId="6ABACD56" w14:textId="5A54128A" w:rsidR="00B57722" w:rsidRPr="00190EB0" w:rsidRDefault="00B57722" w:rsidP="00B57722">
      <w:pPr>
        <w:pStyle w:val="FootnoteText"/>
        <w:rPr>
          <w:rFonts w:ascii="Cambria" w:hAnsi="Cambria"/>
          <w:lang w:val="en-AU"/>
        </w:rPr>
      </w:pPr>
      <w:r w:rsidRPr="00190EB0">
        <w:rPr>
          <w:rStyle w:val="FootnoteReference"/>
          <w:rFonts w:ascii="Cambria" w:hAnsi="Cambria"/>
        </w:rPr>
        <w:footnoteRef/>
      </w:r>
      <w:r w:rsidRPr="00190EB0">
        <w:rPr>
          <w:rFonts w:ascii="Cambria" w:hAnsi="Cambria"/>
        </w:rPr>
        <w:t xml:space="preserve"> </w:t>
      </w:r>
      <w:r w:rsidRPr="00190EB0">
        <w:rPr>
          <w:rFonts w:ascii="Cambria" w:hAnsi="Cambria" w:cs="Calibri"/>
          <w:sz w:val="20"/>
          <w:szCs w:val="20"/>
        </w:rPr>
        <w:t xml:space="preserve">Australian Institute of Criminology, </w:t>
      </w:r>
      <w:r w:rsidR="007631D5" w:rsidRPr="00190EB0">
        <w:rPr>
          <w:rFonts w:ascii="Cambria" w:hAnsi="Cambria" w:cs="Calibri"/>
          <w:i/>
          <w:iCs/>
          <w:sz w:val="20"/>
          <w:szCs w:val="20"/>
        </w:rPr>
        <w:t>Homicide in Australia 2018-19</w:t>
      </w:r>
      <w:r w:rsidR="007631D5" w:rsidRPr="00190EB0">
        <w:rPr>
          <w:rFonts w:ascii="Cambria" w:hAnsi="Cambria" w:cs="Calibri"/>
          <w:sz w:val="20"/>
          <w:szCs w:val="20"/>
        </w:rPr>
        <w:t xml:space="preserve"> (Statistical Report 34: 2021) at 14.</w:t>
      </w:r>
      <w:r w:rsidRPr="00190EB0">
        <w:rPr>
          <w:rFonts w:ascii="Cambria" w:hAnsi="Cambria" w:cs="Calibri"/>
          <w:sz w:val="22"/>
          <w:szCs w:val="22"/>
        </w:rPr>
        <w:t xml:space="preserve"> </w:t>
      </w:r>
    </w:p>
  </w:footnote>
  <w:footnote w:id="11">
    <w:p w14:paraId="0D020BED" w14:textId="347DE956" w:rsidR="00926FCB" w:rsidRPr="00190EB0" w:rsidRDefault="00926FCB" w:rsidP="00694349">
      <w:pPr>
        <w:rPr>
          <w:rFonts w:ascii="Cambria" w:hAnsi="Cambria"/>
          <w:sz w:val="20"/>
          <w:szCs w:val="20"/>
          <w:lang w:val="en-AU"/>
        </w:rPr>
      </w:pPr>
      <w:r w:rsidRPr="00190EB0">
        <w:rPr>
          <w:rStyle w:val="FootnoteReference"/>
          <w:rFonts w:ascii="Cambria" w:hAnsi="Cambria"/>
        </w:rPr>
        <w:footnoteRef/>
      </w:r>
      <w:r w:rsidRPr="00190EB0">
        <w:rPr>
          <w:rFonts w:ascii="Cambria" w:hAnsi="Cambria"/>
        </w:rPr>
        <w:t xml:space="preserve"> </w:t>
      </w:r>
      <w:r w:rsidRPr="00190EB0">
        <w:rPr>
          <w:rFonts w:ascii="Cambria" w:hAnsi="Cambria"/>
          <w:sz w:val="20"/>
          <w:szCs w:val="20"/>
          <w:lang w:val="en-AU"/>
        </w:rPr>
        <w:t xml:space="preserve">Sentencing Advisory Council, </w:t>
      </w:r>
      <w:r w:rsidRPr="00190EB0">
        <w:rPr>
          <w:rFonts w:ascii="Cambria" w:hAnsi="Cambria"/>
          <w:i/>
          <w:iCs/>
          <w:sz w:val="20"/>
          <w:szCs w:val="20"/>
          <w:lang w:val="en-AU"/>
        </w:rPr>
        <w:t>Sentencing for non-fatal strangulation</w:t>
      </w:r>
      <w:r w:rsidRPr="00190EB0">
        <w:rPr>
          <w:rFonts w:ascii="Cambria" w:hAnsi="Cambria"/>
          <w:sz w:val="20"/>
          <w:szCs w:val="20"/>
          <w:lang w:val="en-AU"/>
        </w:rPr>
        <w:t xml:space="preserve"> (Research Paper No. 5) (May 2021) at 12.</w:t>
      </w:r>
    </w:p>
  </w:footnote>
  <w:footnote w:id="12">
    <w:p w14:paraId="3A561105" w14:textId="5E00F31E" w:rsidR="00694349" w:rsidRPr="00190EB0" w:rsidRDefault="00694349" w:rsidP="00694349">
      <w:pPr>
        <w:rPr>
          <w:rFonts w:ascii="Cambria" w:hAnsi="Cambria"/>
          <w:lang w:val="en-AU"/>
        </w:rPr>
      </w:pPr>
      <w:r w:rsidRPr="00190EB0">
        <w:rPr>
          <w:rStyle w:val="FootnoteReference"/>
          <w:rFonts w:ascii="Cambria" w:hAnsi="Cambria"/>
        </w:rPr>
        <w:footnoteRef/>
      </w:r>
      <w:r w:rsidRPr="00190EB0">
        <w:rPr>
          <w:rFonts w:ascii="Cambria" w:hAnsi="Cambria"/>
        </w:rPr>
        <w:t xml:space="preserve"> </w:t>
      </w:r>
      <w:r w:rsidR="00190EB0" w:rsidRPr="00190EB0">
        <w:rPr>
          <w:rFonts w:ascii="Cambria" w:hAnsi="Cambria"/>
          <w:sz w:val="20"/>
          <w:szCs w:val="20"/>
          <w:lang w:val="en-AU"/>
        </w:rPr>
        <w:t>Ibid</w:t>
      </w:r>
      <w:r w:rsidR="00742F4E" w:rsidRPr="00190EB0">
        <w:rPr>
          <w:rFonts w:ascii="Cambria" w:hAnsi="Cambria"/>
          <w:sz w:val="20"/>
          <w:szCs w:val="20"/>
          <w:lang w:val="en-AU"/>
        </w:rPr>
        <w:t xml:space="preserve"> at 75.</w:t>
      </w:r>
      <w:r w:rsidRPr="00190EB0">
        <w:rPr>
          <w:rFonts w:ascii="Cambria" w:hAnsi="Cambria"/>
          <w:sz w:val="20"/>
          <w:szCs w:val="20"/>
          <w:lang w:val="en-AU"/>
        </w:rPr>
        <w:t xml:space="preserve"> </w:t>
      </w:r>
    </w:p>
  </w:footnote>
  <w:footnote w:id="13">
    <w:p w14:paraId="71C3234F" w14:textId="78F6D794" w:rsidR="00694349" w:rsidRPr="00190EB0" w:rsidRDefault="00694349">
      <w:pPr>
        <w:pStyle w:val="FootnoteText"/>
        <w:rPr>
          <w:rFonts w:ascii="Cambria" w:hAnsi="Cambria"/>
          <w:lang w:val="en-AU"/>
        </w:rPr>
      </w:pPr>
      <w:r w:rsidRPr="00190EB0">
        <w:rPr>
          <w:rStyle w:val="FootnoteReference"/>
          <w:rFonts w:ascii="Cambria" w:hAnsi="Cambria"/>
        </w:rPr>
        <w:footnoteRef/>
      </w:r>
      <w:r w:rsidR="00742F4E" w:rsidRPr="00190EB0">
        <w:rPr>
          <w:rFonts w:ascii="Cambria" w:hAnsi="Cambria"/>
          <w:sz w:val="20"/>
          <w:szCs w:val="20"/>
          <w:lang w:val="en-AU"/>
        </w:rPr>
        <w:t xml:space="preserve"> Ibid</w:t>
      </w:r>
      <w:r w:rsidRPr="00190EB0">
        <w:rPr>
          <w:rFonts w:ascii="Cambria" w:hAnsi="Cambria"/>
          <w:sz w:val="20"/>
          <w:szCs w:val="20"/>
          <w:lang w:val="en-AU"/>
        </w:rPr>
        <w:t>.</w:t>
      </w:r>
    </w:p>
  </w:footnote>
  <w:footnote w:id="14">
    <w:p w14:paraId="7FACA77D" w14:textId="36C5DBC0" w:rsidR="00742F4E" w:rsidRPr="00190EB0" w:rsidRDefault="00742F4E">
      <w:pPr>
        <w:pStyle w:val="FootnoteText"/>
        <w:rPr>
          <w:rFonts w:ascii="Cambria" w:hAnsi="Cambria"/>
          <w:lang w:val="en-AU"/>
        </w:rPr>
      </w:pPr>
      <w:r w:rsidRPr="00190EB0">
        <w:rPr>
          <w:rStyle w:val="FootnoteReference"/>
          <w:rFonts w:ascii="Cambria" w:hAnsi="Cambria"/>
        </w:rPr>
        <w:footnoteRef/>
      </w:r>
      <w:r w:rsidRPr="00190EB0">
        <w:rPr>
          <w:rFonts w:ascii="Cambria" w:hAnsi="Cambria"/>
        </w:rPr>
        <w:t xml:space="preserve"> </w:t>
      </w:r>
      <w:r w:rsidR="00190EB0" w:rsidRPr="00190EB0">
        <w:rPr>
          <w:rFonts w:ascii="Cambria" w:hAnsi="Cambria"/>
          <w:sz w:val="20"/>
          <w:szCs w:val="20"/>
          <w:lang w:val="en-AU"/>
        </w:rPr>
        <w:t>Ibid</w:t>
      </w:r>
      <w:r w:rsidRPr="00190EB0">
        <w:rPr>
          <w:rFonts w:ascii="Cambria" w:hAnsi="Cambria"/>
          <w:sz w:val="20"/>
          <w:szCs w:val="20"/>
          <w:lang w:val="en-AU"/>
        </w:rPr>
        <w:t xml:space="preserve"> at 76.</w:t>
      </w:r>
    </w:p>
  </w:footnote>
  <w:footnote w:id="15">
    <w:p w14:paraId="44346B0E" w14:textId="08641410" w:rsidR="00742F4E" w:rsidRPr="00190EB0" w:rsidRDefault="00742F4E">
      <w:pPr>
        <w:pStyle w:val="FootnoteText"/>
        <w:rPr>
          <w:rFonts w:ascii="Cambria" w:hAnsi="Cambria"/>
          <w:lang w:val="en-AU"/>
        </w:rPr>
      </w:pPr>
      <w:r w:rsidRPr="00190EB0">
        <w:rPr>
          <w:rStyle w:val="FootnoteReference"/>
          <w:rFonts w:ascii="Cambria" w:hAnsi="Cambria"/>
        </w:rPr>
        <w:footnoteRef/>
      </w:r>
      <w:r w:rsidRPr="00190EB0">
        <w:rPr>
          <w:rFonts w:ascii="Cambria" w:hAnsi="Cambria"/>
        </w:rPr>
        <w:t xml:space="preserve"> </w:t>
      </w:r>
      <w:r w:rsidRPr="00190EB0">
        <w:rPr>
          <w:rFonts w:ascii="Cambria" w:hAnsi="Cambria"/>
          <w:sz w:val="20"/>
          <w:szCs w:val="20"/>
          <w:lang w:val="en-AU"/>
        </w:rPr>
        <w:t>Ibid.</w:t>
      </w:r>
    </w:p>
  </w:footnote>
  <w:footnote w:id="16">
    <w:p w14:paraId="7E248F29" w14:textId="2BFDB69A" w:rsidR="00EC1F2F" w:rsidRPr="00190EB0" w:rsidRDefault="00EC1F2F">
      <w:pPr>
        <w:pStyle w:val="FootnoteText"/>
        <w:rPr>
          <w:rFonts w:ascii="Cambria" w:hAnsi="Cambria"/>
          <w:lang w:val="en-AU"/>
        </w:rPr>
      </w:pPr>
      <w:r w:rsidRPr="00190EB0">
        <w:rPr>
          <w:rStyle w:val="FootnoteReference"/>
          <w:rFonts w:ascii="Cambria" w:hAnsi="Cambria"/>
        </w:rPr>
        <w:footnoteRef/>
      </w:r>
      <w:r w:rsidRPr="00190EB0">
        <w:rPr>
          <w:rFonts w:ascii="Cambria" w:hAnsi="Cambria"/>
        </w:rPr>
        <w:t xml:space="preserve"> </w:t>
      </w:r>
      <w:r w:rsidR="00190EB0" w:rsidRPr="00190EB0">
        <w:rPr>
          <w:rFonts w:ascii="Cambria" w:hAnsi="Cambria"/>
          <w:sz w:val="20"/>
          <w:szCs w:val="20"/>
          <w:lang w:val="en-AU"/>
        </w:rPr>
        <w:t>Ibid</w:t>
      </w:r>
      <w:r w:rsidRPr="00190EB0">
        <w:rPr>
          <w:rFonts w:ascii="Cambria" w:hAnsi="Cambria"/>
          <w:sz w:val="20"/>
          <w:szCs w:val="20"/>
          <w:lang w:val="en-AU"/>
        </w:rPr>
        <w:t>.</w:t>
      </w:r>
    </w:p>
  </w:footnote>
  <w:footnote w:id="17">
    <w:p w14:paraId="72E409C7" w14:textId="72727DEE" w:rsidR="00190EB0" w:rsidRPr="00190EB0" w:rsidRDefault="00103E70" w:rsidP="00190EB0">
      <w:pPr>
        <w:rPr>
          <w:rFonts w:ascii="Cambria" w:hAnsi="Cambria"/>
          <w:lang w:val="en-AU"/>
        </w:rPr>
      </w:pPr>
      <w:r w:rsidRPr="00190EB0">
        <w:rPr>
          <w:rStyle w:val="FootnoteReference"/>
          <w:rFonts w:ascii="Cambria" w:hAnsi="Cambria"/>
        </w:rPr>
        <w:footnoteRef/>
      </w:r>
      <w:r w:rsidRPr="00190EB0">
        <w:rPr>
          <w:rFonts w:ascii="Cambria" w:hAnsi="Cambria"/>
        </w:rPr>
        <w:t xml:space="preserve"> </w:t>
      </w:r>
      <w:r w:rsidR="00190EB0" w:rsidRPr="00190EB0">
        <w:rPr>
          <w:rFonts w:ascii="Cambria" w:hAnsi="Cambria"/>
          <w:sz w:val="20"/>
          <w:szCs w:val="20"/>
          <w:lang w:val="en-AU"/>
        </w:rPr>
        <w:t>Ibid</w:t>
      </w:r>
      <w:r w:rsidRPr="00190EB0">
        <w:rPr>
          <w:rFonts w:ascii="Cambria" w:hAnsi="Cambria"/>
          <w:sz w:val="20"/>
          <w:szCs w:val="20"/>
          <w:lang w:val="en-AU"/>
        </w:rPr>
        <w:t xml:space="preserve"> at 5. </w:t>
      </w:r>
    </w:p>
    <w:p w14:paraId="12D88B97" w14:textId="6891F556" w:rsidR="00103E70" w:rsidRPr="00190EB0" w:rsidRDefault="00103E70" w:rsidP="00103E70">
      <w:pPr>
        <w:pStyle w:val="FootnoteText"/>
        <w:rPr>
          <w:rFonts w:ascii="Cambria" w:hAnsi="Cambria"/>
          <w:lang w:val="en-AU"/>
        </w:rPr>
      </w:pPr>
    </w:p>
  </w:footnote>
  <w:footnote w:id="18">
    <w:p w14:paraId="0D7265B5" w14:textId="0D07E1C0" w:rsidR="008B1600" w:rsidRPr="00190EB0" w:rsidRDefault="008B1600">
      <w:pPr>
        <w:pStyle w:val="FootnoteText"/>
        <w:rPr>
          <w:rFonts w:ascii="Cambria" w:hAnsi="Cambria"/>
          <w:lang w:val="en-AU"/>
        </w:rPr>
      </w:pPr>
      <w:r w:rsidRPr="00190EB0">
        <w:rPr>
          <w:rStyle w:val="FootnoteReference"/>
          <w:rFonts w:ascii="Cambria" w:hAnsi="Cambria"/>
        </w:rPr>
        <w:footnoteRef/>
      </w:r>
      <w:r w:rsidRPr="00190EB0">
        <w:rPr>
          <w:rFonts w:ascii="Cambria" w:hAnsi="Cambria"/>
        </w:rPr>
        <w:t xml:space="preserve"> </w:t>
      </w:r>
      <w:r w:rsidRPr="00190EB0">
        <w:rPr>
          <w:rFonts w:ascii="Cambria" w:hAnsi="Cambria"/>
          <w:i/>
          <w:iCs/>
          <w:sz w:val="20"/>
          <w:szCs w:val="20"/>
          <w:lang w:val="en-AU"/>
        </w:rPr>
        <w:t>R v Campos</w:t>
      </w:r>
      <w:r w:rsidRPr="00190EB0">
        <w:rPr>
          <w:rFonts w:ascii="Cambria" w:hAnsi="Cambria"/>
          <w:sz w:val="20"/>
          <w:szCs w:val="20"/>
          <w:lang w:val="en-AU"/>
        </w:rPr>
        <w:t xml:space="preserve"> [2021] NZDC 7422.</w:t>
      </w:r>
      <w:r w:rsidR="0025038D" w:rsidRPr="00190EB0">
        <w:rPr>
          <w:rFonts w:ascii="Cambria" w:hAnsi="Cambria"/>
          <w:sz w:val="20"/>
          <w:szCs w:val="20"/>
          <w:lang w:val="en-AU"/>
        </w:rPr>
        <w:t xml:space="preserve"> The judgment is available at </w:t>
      </w:r>
      <w:hyperlink r:id="rId4" w:history="1">
        <w:r w:rsidR="0025038D" w:rsidRPr="00190EB0">
          <w:rPr>
            <w:rStyle w:val="Hyperlink"/>
            <w:rFonts w:ascii="Cambria" w:hAnsi="Cambria"/>
            <w:sz w:val="20"/>
            <w:szCs w:val="20"/>
            <w:lang w:val="en-AU"/>
          </w:rPr>
          <w:t>https://www.districtcourts.govt.nz/assets/secure/2021-05-25/bf501081a3/2021-NZDC-7422_R-v-Campos.pdf</w:t>
        </w:r>
      </w:hyperlink>
      <w:r w:rsidR="0025038D" w:rsidRPr="00190EB0">
        <w:rPr>
          <w:rFonts w:ascii="Cambria" w:hAnsi="Cambria"/>
          <w:sz w:val="20"/>
          <w:szCs w:val="20"/>
          <w:lang w:val="en-AU"/>
        </w:rPr>
        <w:t xml:space="preserve"> (Accessed 15 February 2022). </w:t>
      </w:r>
    </w:p>
  </w:footnote>
  <w:footnote w:id="19">
    <w:p w14:paraId="40D10E96" w14:textId="2C0676D9" w:rsidR="0025038D" w:rsidRPr="0025038D" w:rsidRDefault="0025038D">
      <w:pPr>
        <w:pStyle w:val="FootnoteText"/>
        <w:rPr>
          <w:rFonts w:ascii="Cambria" w:hAnsi="Cambria"/>
          <w:lang w:val="en-AU"/>
        </w:rPr>
      </w:pPr>
      <w:r w:rsidRPr="00190EB0">
        <w:rPr>
          <w:rStyle w:val="FootnoteReference"/>
          <w:rFonts w:ascii="Cambria" w:hAnsi="Cambria"/>
        </w:rPr>
        <w:footnoteRef/>
      </w:r>
      <w:r w:rsidRPr="00190EB0">
        <w:rPr>
          <w:rFonts w:ascii="Cambria" w:hAnsi="Cambria"/>
        </w:rPr>
        <w:t xml:space="preserve"> </w:t>
      </w:r>
      <w:r w:rsidRPr="00190EB0">
        <w:rPr>
          <w:rFonts w:ascii="Cambria" w:hAnsi="Cambria"/>
          <w:i/>
          <w:iCs/>
          <w:sz w:val="20"/>
          <w:szCs w:val="20"/>
          <w:lang w:val="en-AU"/>
        </w:rPr>
        <w:t>R v Campos</w:t>
      </w:r>
      <w:r w:rsidRPr="00190EB0">
        <w:rPr>
          <w:rFonts w:ascii="Cambria" w:hAnsi="Cambria"/>
          <w:sz w:val="20"/>
          <w:szCs w:val="20"/>
          <w:lang w:val="en-AU"/>
        </w:rPr>
        <w:t xml:space="preserve"> [2021] NZDC 7422 at paras. [13]-[16].</w:t>
      </w:r>
      <w:r w:rsidRPr="0025038D">
        <w:rPr>
          <w:rFonts w:ascii="Cambria" w:hAnsi="Cambria"/>
          <w:sz w:val="20"/>
          <w:szCs w:val="20"/>
          <w:lang w:val="en-A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85FC8"/>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35260"/>
    <w:multiLevelType w:val="multilevel"/>
    <w:tmpl w:val="6F0805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21CDE"/>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5D0BBA"/>
    <w:multiLevelType w:val="multilevel"/>
    <w:tmpl w:val="1282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6017E"/>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C3AE5"/>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B76AD"/>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FB7C90"/>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60816"/>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290E41"/>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B468BE"/>
    <w:multiLevelType w:val="multilevel"/>
    <w:tmpl w:val="FDD8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2125F7"/>
    <w:multiLevelType w:val="hybridMultilevel"/>
    <w:tmpl w:val="E5662F88"/>
    <w:lvl w:ilvl="0" w:tplc="88687E32">
      <w:start w:val="2019"/>
      <w:numFmt w:val="bullet"/>
      <w:lvlText w:val=""/>
      <w:lvlJc w:val="left"/>
      <w:pPr>
        <w:ind w:left="720" w:hanging="360"/>
      </w:pPr>
      <w:rPr>
        <w:rFonts w:ascii="Symbol" w:eastAsiaTheme="minorHAnsi" w:hAnsi="Symbol"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DD409B"/>
    <w:multiLevelType w:val="multilevel"/>
    <w:tmpl w:val="8FEA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3B4ECB"/>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E26577"/>
    <w:multiLevelType w:val="multilevel"/>
    <w:tmpl w:val="A6CE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212BC9"/>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2545A0"/>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766342"/>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C3DDF"/>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E978AA"/>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D27DB4"/>
    <w:multiLevelType w:val="multilevel"/>
    <w:tmpl w:val="69BE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4"/>
  </w:num>
  <w:num w:numId="4">
    <w:abstractNumId w:val="8"/>
  </w:num>
  <w:num w:numId="5">
    <w:abstractNumId w:val="13"/>
  </w:num>
  <w:num w:numId="6">
    <w:abstractNumId w:val="2"/>
  </w:num>
  <w:num w:numId="7">
    <w:abstractNumId w:val="15"/>
  </w:num>
  <w:num w:numId="8">
    <w:abstractNumId w:val="18"/>
  </w:num>
  <w:num w:numId="9">
    <w:abstractNumId w:val="7"/>
  </w:num>
  <w:num w:numId="10">
    <w:abstractNumId w:val="0"/>
  </w:num>
  <w:num w:numId="11">
    <w:abstractNumId w:val="19"/>
  </w:num>
  <w:num w:numId="12">
    <w:abstractNumId w:val="5"/>
  </w:num>
  <w:num w:numId="13">
    <w:abstractNumId w:val="9"/>
  </w:num>
  <w:num w:numId="14">
    <w:abstractNumId w:val="17"/>
  </w:num>
  <w:num w:numId="15">
    <w:abstractNumId w:val="16"/>
  </w:num>
  <w:num w:numId="16">
    <w:abstractNumId w:val="3"/>
  </w:num>
  <w:num w:numId="17">
    <w:abstractNumId w:val="1"/>
  </w:num>
  <w:num w:numId="18">
    <w:abstractNumId w:val="10"/>
  </w:num>
  <w:num w:numId="19">
    <w:abstractNumId w:val="14"/>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24"/>
    <w:rsid w:val="00054D74"/>
    <w:rsid w:val="000A135C"/>
    <w:rsid w:val="000C5170"/>
    <w:rsid w:val="000F2FC6"/>
    <w:rsid w:val="00101BF6"/>
    <w:rsid w:val="00103C7B"/>
    <w:rsid w:val="00103E70"/>
    <w:rsid w:val="00121B63"/>
    <w:rsid w:val="00163EBF"/>
    <w:rsid w:val="00190EB0"/>
    <w:rsid w:val="00192B24"/>
    <w:rsid w:val="001D76C6"/>
    <w:rsid w:val="0025038D"/>
    <w:rsid w:val="0027511C"/>
    <w:rsid w:val="0029356B"/>
    <w:rsid w:val="002C6302"/>
    <w:rsid w:val="003836C2"/>
    <w:rsid w:val="003A5881"/>
    <w:rsid w:val="004170F4"/>
    <w:rsid w:val="00424EBE"/>
    <w:rsid w:val="004A75EC"/>
    <w:rsid w:val="00545597"/>
    <w:rsid w:val="005975F5"/>
    <w:rsid w:val="005C7524"/>
    <w:rsid w:val="005D0469"/>
    <w:rsid w:val="005D432B"/>
    <w:rsid w:val="00646887"/>
    <w:rsid w:val="00694349"/>
    <w:rsid w:val="006D4708"/>
    <w:rsid w:val="006F606B"/>
    <w:rsid w:val="00742F4E"/>
    <w:rsid w:val="007631D5"/>
    <w:rsid w:val="008B1600"/>
    <w:rsid w:val="008D0189"/>
    <w:rsid w:val="00926FCB"/>
    <w:rsid w:val="0095543B"/>
    <w:rsid w:val="009A17AD"/>
    <w:rsid w:val="009B7CD6"/>
    <w:rsid w:val="00B56838"/>
    <w:rsid w:val="00B57722"/>
    <w:rsid w:val="00B60246"/>
    <w:rsid w:val="00BB0A43"/>
    <w:rsid w:val="00CB6696"/>
    <w:rsid w:val="00CC1D9B"/>
    <w:rsid w:val="00CE70BF"/>
    <w:rsid w:val="00D114C8"/>
    <w:rsid w:val="00D26EC6"/>
    <w:rsid w:val="00DF781C"/>
    <w:rsid w:val="00E03165"/>
    <w:rsid w:val="00E26AB3"/>
    <w:rsid w:val="00E86667"/>
    <w:rsid w:val="00EC1F2F"/>
    <w:rsid w:val="00F57858"/>
    <w:rsid w:val="00F66139"/>
    <w:rsid w:val="00FD479E"/>
    <w:rsid w:val="00FE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41049D5"/>
  <w15:chartTrackingRefBased/>
  <w15:docId w15:val="{609F2F7F-AE7C-0440-89CF-04C24C2E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524"/>
    <w:rPr>
      <w:rFonts w:ascii="Times New Roman" w:eastAsia="Times New Roman" w:hAnsi="Times New Roman"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524"/>
    <w:rPr>
      <w:color w:val="0563C1" w:themeColor="hyperlink"/>
      <w:u w:val="single"/>
    </w:rPr>
  </w:style>
  <w:style w:type="table" w:styleId="TableGrid">
    <w:name w:val="Table Grid"/>
    <w:basedOn w:val="TableNormal"/>
    <w:uiPriority w:val="39"/>
    <w:rsid w:val="005C7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Text"/>
    <w:basedOn w:val="Normal"/>
    <w:link w:val="FootnoteTextChar"/>
    <w:uiPriority w:val="99"/>
    <w:unhideWhenUsed/>
    <w:rsid w:val="005C7524"/>
    <w:rPr>
      <w:rFonts w:asciiTheme="minorHAnsi" w:eastAsiaTheme="minorEastAsia" w:hAnsiTheme="minorHAnsi" w:cstheme="minorBidi"/>
      <w:lang w:val="en-US"/>
    </w:rPr>
  </w:style>
  <w:style w:type="character" w:customStyle="1" w:styleId="FootnoteTextChar">
    <w:name w:val="Footnote Text Char"/>
    <w:aliases w:val="Footnote Char,Text Char"/>
    <w:basedOn w:val="DefaultParagraphFont"/>
    <w:link w:val="FootnoteText"/>
    <w:uiPriority w:val="99"/>
    <w:rsid w:val="005C7524"/>
    <w:rPr>
      <w:rFonts w:eastAsiaTheme="minorEastAsia"/>
      <w:lang w:val="en-US"/>
    </w:rPr>
  </w:style>
  <w:style w:type="character" w:styleId="FootnoteReference">
    <w:name w:val="footnote reference"/>
    <w:aliases w:val="Ref,de nota al pie"/>
    <w:basedOn w:val="DefaultParagraphFont"/>
    <w:uiPriority w:val="99"/>
    <w:unhideWhenUsed/>
    <w:qFormat/>
    <w:rsid w:val="005C7524"/>
    <w:rPr>
      <w:vertAlign w:val="superscript"/>
    </w:rPr>
  </w:style>
  <w:style w:type="paragraph" w:styleId="NoSpacing">
    <w:name w:val="No Spacing"/>
    <w:uiPriority w:val="1"/>
    <w:qFormat/>
    <w:rsid w:val="005C7524"/>
    <w:rPr>
      <w:rFonts w:ascii="Times New Roman" w:eastAsia="Times New Roman" w:hAnsi="Times New Roman" w:cs="Times New Roman"/>
      <w:lang w:eastAsia="en-GB"/>
    </w:rPr>
  </w:style>
  <w:style w:type="paragraph" w:styleId="Footer">
    <w:name w:val="footer"/>
    <w:basedOn w:val="Normal"/>
    <w:link w:val="FooterChar"/>
    <w:uiPriority w:val="99"/>
    <w:unhideWhenUsed/>
    <w:rsid w:val="005C7524"/>
    <w:pPr>
      <w:tabs>
        <w:tab w:val="center" w:pos="4513"/>
        <w:tab w:val="right" w:pos="9026"/>
      </w:tabs>
    </w:pPr>
    <w:rPr>
      <w:lang w:val="en-AU" w:eastAsia="en-GB"/>
    </w:rPr>
  </w:style>
  <w:style w:type="character" w:customStyle="1" w:styleId="FooterChar">
    <w:name w:val="Footer Char"/>
    <w:basedOn w:val="DefaultParagraphFont"/>
    <w:link w:val="Footer"/>
    <w:uiPriority w:val="99"/>
    <w:rsid w:val="005C7524"/>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C7524"/>
  </w:style>
  <w:style w:type="paragraph" w:customStyle="1" w:styleId="xmsonormal">
    <w:name w:val="x_msonormal"/>
    <w:basedOn w:val="Normal"/>
    <w:rsid w:val="005C7524"/>
    <w:pPr>
      <w:spacing w:before="100" w:beforeAutospacing="1" w:after="100" w:afterAutospacing="1"/>
    </w:pPr>
    <w:rPr>
      <w:lang w:val="en-AU" w:eastAsia="en-GB"/>
    </w:rPr>
  </w:style>
  <w:style w:type="character" w:customStyle="1" w:styleId="xapple-converted-space">
    <w:name w:val="x_apple-converted-space"/>
    <w:basedOn w:val="DefaultParagraphFont"/>
    <w:rsid w:val="005C7524"/>
  </w:style>
  <w:style w:type="paragraph" w:styleId="ListParagraph">
    <w:name w:val="List Paragraph"/>
    <w:basedOn w:val="Normal"/>
    <w:uiPriority w:val="34"/>
    <w:qFormat/>
    <w:rsid w:val="005C7524"/>
    <w:pPr>
      <w:tabs>
        <w:tab w:val="left" w:pos="567"/>
        <w:tab w:val="left" w:pos="1134"/>
        <w:tab w:val="left" w:pos="1701"/>
      </w:tabs>
      <w:spacing w:after="140" w:line="300" w:lineRule="exact"/>
      <w:contextualSpacing/>
    </w:pPr>
    <w:rPr>
      <w:rFonts w:asciiTheme="minorHAnsi" w:eastAsiaTheme="minorHAnsi" w:hAnsiTheme="minorHAnsi" w:cs="Times New Roman (Body CS)"/>
      <w:sz w:val="22"/>
      <w:lang w:val="en-AU"/>
    </w:rPr>
  </w:style>
  <w:style w:type="paragraph" w:styleId="Header">
    <w:name w:val="header"/>
    <w:basedOn w:val="Normal"/>
    <w:link w:val="HeaderChar"/>
    <w:uiPriority w:val="99"/>
    <w:unhideWhenUsed/>
    <w:rsid w:val="000A135C"/>
    <w:pPr>
      <w:tabs>
        <w:tab w:val="center" w:pos="4513"/>
        <w:tab w:val="right" w:pos="9026"/>
      </w:tabs>
    </w:pPr>
  </w:style>
  <w:style w:type="character" w:customStyle="1" w:styleId="HeaderChar">
    <w:name w:val="Header Char"/>
    <w:basedOn w:val="DefaultParagraphFont"/>
    <w:link w:val="Header"/>
    <w:uiPriority w:val="99"/>
    <w:rsid w:val="000A135C"/>
    <w:rPr>
      <w:rFonts w:ascii="Times New Roman" w:eastAsia="Times New Roman" w:hAnsi="Times New Roman" w:cs="Times New Roman"/>
      <w:lang w:val="de-DE"/>
    </w:rPr>
  </w:style>
  <w:style w:type="paragraph" w:styleId="NormalWeb">
    <w:name w:val="Normal (Web)"/>
    <w:basedOn w:val="Normal"/>
    <w:uiPriority w:val="99"/>
    <w:unhideWhenUsed/>
    <w:rsid w:val="000A135C"/>
    <w:pPr>
      <w:spacing w:before="100" w:beforeAutospacing="1" w:after="100" w:afterAutospacing="1"/>
    </w:pPr>
    <w:rPr>
      <w:lang w:val="en-AU" w:eastAsia="en-GB"/>
    </w:rPr>
  </w:style>
  <w:style w:type="character" w:styleId="UnresolvedMention">
    <w:name w:val="Unresolved Mention"/>
    <w:basedOn w:val="DefaultParagraphFont"/>
    <w:uiPriority w:val="99"/>
    <w:semiHidden/>
    <w:unhideWhenUsed/>
    <w:rsid w:val="00101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5701">
      <w:bodyDiv w:val="1"/>
      <w:marLeft w:val="0"/>
      <w:marRight w:val="0"/>
      <w:marTop w:val="0"/>
      <w:marBottom w:val="0"/>
      <w:divBdr>
        <w:top w:val="none" w:sz="0" w:space="0" w:color="auto"/>
        <w:left w:val="none" w:sz="0" w:space="0" w:color="auto"/>
        <w:bottom w:val="none" w:sz="0" w:space="0" w:color="auto"/>
        <w:right w:val="none" w:sz="0" w:space="0" w:color="auto"/>
      </w:divBdr>
      <w:divsChild>
        <w:div w:id="1566067200">
          <w:marLeft w:val="0"/>
          <w:marRight w:val="0"/>
          <w:marTop w:val="0"/>
          <w:marBottom w:val="0"/>
          <w:divBdr>
            <w:top w:val="none" w:sz="0" w:space="0" w:color="auto"/>
            <w:left w:val="none" w:sz="0" w:space="0" w:color="auto"/>
            <w:bottom w:val="none" w:sz="0" w:space="0" w:color="auto"/>
            <w:right w:val="none" w:sz="0" w:space="0" w:color="auto"/>
          </w:divBdr>
          <w:divsChild>
            <w:div w:id="472404286">
              <w:marLeft w:val="0"/>
              <w:marRight w:val="0"/>
              <w:marTop w:val="0"/>
              <w:marBottom w:val="0"/>
              <w:divBdr>
                <w:top w:val="none" w:sz="0" w:space="0" w:color="auto"/>
                <w:left w:val="none" w:sz="0" w:space="0" w:color="auto"/>
                <w:bottom w:val="none" w:sz="0" w:space="0" w:color="auto"/>
                <w:right w:val="none" w:sz="0" w:space="0" w:color="auto"/>
              </w:divBdr>
              <w:divsChild>
                <w:div w:id="14359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2820">
      <w:bodyDiv w:val="1"/>
      <w:marLeft w:val="0"/>
      <w:marRight w:val="0"/>
      <w:marTop w:val="0"/>
      <w:marBottom w:val="0"/>
      <w:divBdr>
        <w:top w:val="none" w:sz="0" w:space="0" w:color="auto"/>
        <w:left w:val="none" w:sz="0" w:space="0" w:color="auto"/>
        <w:bottom w:val="none" w:sz="0" w:space="0" w:color="auto"/>
        <w:right w:val="none" w:sz="0" w:space="0" w:color="auto"/>
      </w:divBdr>
      <w:divsChild>
        <w:div w:id="1589461524">
          <w:marLeft w:val="0"/>
          <w:marRight w:val="0"/>
          <w:marTop w:val="0"/>
          <w:marBottom w:val="0"/>
          <w:divBdr>
            <w:top w:val="none" w:sz="0" w:space="0" w:color="auto"/>
            <w:left w:val="none" w:sz="0" w:space="0" w:color="auto"/>
            <w:bottom w:val="none" w:sz="0" w:space="0" w:color="auto"/>
            <w:right w:val="none" w:sz="0" w:space="0" w:color="auto"/>
          </w:divBdr>
          <w:divsChild>
            <w:div w:id="1590196505">
              <w:marLeft w:val="0"/>
              <w:marRight w:val="0"/>
              <w:marTop w:val="0"/>
              <w:marBottom w:val="0"/>
              <w:divBdr>
                <w:top w:val="none" w:sz="0" w:space="0" w:color="auto"/>
                <w:left w:val="none" w:sz="0" w:space="0" w:color="auto"/>
                <w:bottom w:val="none" w:sz="0" w:space="0" w:color="auto"/>
                <w:right w:val="none" w:sz="0" w:space="0" w:color="auto"/>
              </w:divBdr>
              <w:divsChild>
                <w:div w:id="1226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6610">
      <w:bodyDiv w:val="1"/>
      <w:marLeft w:val="0"/>
      <w:marRight w:val="0"/>
      <w:marTop w:val="0"/>
      <w:marBottom w:val="0"/>
      <w:divBdr>
        <w:top w:val="none" w:sz="0" w:space="0" w:color="auto"/>
        <w:left w:val="none" w:sz="0" w:space="0" w:color="auto"/>
        <w:bottom w:val="none" w:sz="0" w:space="0" w:color="auto"/>
        <w:right w:val="none" w:sz="0" w:space="0" w:color="auto"/>
      </w:divBdr>
      <w:divsChild>
        <w:div w:id="1142186905">
          <w:marLeft w:val="0"/>
          <w:marRight w:val="0"/>
          <w:marTop w:val="0"/>
          <w:marBottom w:val="0"/>
          <w:divBdr>
            <w:top w:val="none" w:sz="0" w:space="0" w:color="auto"/>
            <w:left w:val="none" w:sz="0" w:space="0" w:color="auto"/>
            <w:bottom w:val="none" w:sz="0" w:space="0" w:color="auto"/>
            <w:right w:val="none" w:sz="0" w:space="0" w:color="auto"/>
          </w:divBdr>
          <w:divsChild>
            <w:div w:id="198662292">
              <w:marLeft w:val="0"/>
              <w:marRight w:val="0"/>
              <w:marTop w:val="0"/>
              <w:marBottom w:val="0"/>
              <w:divBdr>
                <w:top w:val="none" w:sz="0" w:space="0" w:color="auto"/>
                <w:left w:val="none" w:sz="0" w:space="0" w:color="auto"/>
                <w:bottom w:val="none" w:sz="0" w:space="0" w:color="auto"/>
                <w:right w:val="none" w:sz="0" w:space="0" w:color="auto"/>
              </w:divBdr>
              <w:divsChild>
                <w:div w:id="9268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3612">
      <w:bodyDiv w:val="1"/>
      <w:marLeft w:val="0"/>
      <w:marRight w:val="0"/>
      <w:marTop w:val="0"/>
      <w:marBottom w:val="0"/>
      <w:divBdr>
        <w:top w:val="none" w:sz="0" w:space="0" w:color="auto"/>
        <w:left w:val="none" w:sz="0" w:space="0" w:color="auto"/>
        <w:bottom w:val="none" w:sz="0" w:space="0" w:color="auto"/>
        <w:right w:val="none" w:sz="0" w:space="0" w:color="auto"/>
      </w:divBdr>
      <w:divsChild>
        <w:div w:id="1682704965">
          <w:marLeft w:val="0"/>
          <w:marRight w:val="0"/>
          <w:marTop w:val="0"/>
          <w:marBottom w:val="0"/>
          <w:divBdr>
            <w:top w:val="none" w:sz="0" w:space="0" w:color="auto"/>
            <w:left w:val="none" w:sz="0" w:space="0" w:color="auto"/>
            <w:bottom w:val="none" w:sz="0" w:space="0" w:color="auto"/>
            <w:right w:val="none" w:sz="0" w:space="0" w:color="auto"/>
          </w:divBdr>
          <w:divsChild>
            <w:div w:id="2125537725">
              <w:marLeft w:val="0"/>
              <w:marRight w:val="0"/>
              <w:marTop w:val="0"/>
              <w:marBottom w:val="0"/>
              <w:divBdr>
                <w:top w:val="none" w:sz="0" w:space="0" w:color="auto"/>
                <w:left w:val="none" w:sz="0" w:space="0" w:color="auto"/>
                <w:bottom w:val="none" w:sz="0" w:space="0" w:color="auto"/>
                <w:right w:val="none" w:sz="0" w:space="0" w:color="auto"/>
              </w:divBdr>
              <w:divsChild>
                <w:div w:id="15475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1019">
      <w:bodyDiv w:val="1"/>
      <w:marLeft w:val="0"/>
      <w:marRight w:val="0"/>
      <w:marTop w:val="0"/>
      <w:marBottom w:val="0"/>
      <w:divBdr>
        <w:top w:val="none" w:sz="0" w:space="0" w:color="auto"/>
        <w:left w:val="none" w:sz="0" w:space="0" w:color="auto"/>
        <w:bottom w:val="none" w:sz="0" w:space="0" w:color="auto"/>
        <w:right w:val="none" w:sz="0" w:space="0" w:color="auto"/>
      </w:divBdr>
      <w:divsChild>
        <w:div w:id="1992755007">
          <w:marLeft w:val="0"/>
          <w:marRight w:val="0"/>
          <w:marTop w:val="0"/>
          <w:marBottom w:val="0"/>
          <w:divBdr>
            <w:top w:val="none" w:sz="0" w:space="0" w:color="auto"/>
            <w:left w:val="none" w:sz="0" w:space="0" w:color="auto"/>
            <w:bottom w:val="none" w:sz="0" w:space="0" w:color="auto"/>
            <w:right w:val="none" w:sz="0" w:space="0" w:color="auto"/>
          </w:divBdr>
          <w:divsChild>
            <w:div w:id="1612086754">
              <w:marLeft w:val="0"/>
              <w:marRight w:val="0"/>
              <w:marTop w:val="0"/>
              <w:marBottom w:val="0"/>
              <w:divBdr>
                <w:top w:val="none" w:sz="0" w:space="0" w:color="auto"/>
                <w:left w:val="none" w:sz="0" w:space="0" w:color="auto"/>
                <w:bottom w:val="none" w:sz="0" w:space="0" w:color="auto"/>
                <w:right w:val="none" w:sz="0" w:space="0" w:color="auto"/>
              </w:divBdr>
              <w:divsChild>
                <w:div w:id="13067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328">
      <w:bodyDiv w:val="1"/>
      <w:marLeft w:val="0"/>
      <w:marRight w:val="0"/>
      <w:marTop w:val="0"/>
      <w:marBottom w:val="0"/>
      <w:divBdr>
        <w:top w:val="none" w:sz="0" w:space="0" w:color="auto"/>
        <w:left w:val="none" w:sz="0" w:space="0" w:color="auto"/>
        <w:bottom w:val="none" w:sz="0" w:space="0" w:color="auto"/>
        <w:right w:val="none" w:sz="0" w:space="0" w:color="auto"/>
      </w:divBdr>
      <w:divsChild>
        <w:div w:id="722021363">
          <w:marLeft w:val="0"/>
          <w:marRight w:val="0"/>
          <w:marTop w:val="0"/>
          <w:marBottom w:val="0"/>
          <w:divBdr>
            <w:top w:val="none" w:sz="0" w:space="0" w:color="auto"/>
            <w:left w:val="none" w:sz="0" w:space="0" w:color="auto"/>
            <w:bottom w:val="none" w:sz="0" w:space="0" w:color="auto"/>
            <w:right w:val="none" w:sz="0" w:space="0" w:color="auto"/>
          </w:divBdr>
          <w:divsChild>
            <w:div w:id="2091071980">
              <w:marLeft w:val="0"/>
              <w:marRight w:val="0"/>
              <w:marTop w:val="0"/>
              <w:marBottom w:val="0"/>
              <w:divBdr>
                <w:top w:val="none" w:sz="0" w:space="0" w:color="auto"/>
                <w:left w:val="none" w:sz="0" w:space="0" w:color="auto"/>
                <w:bottom w:val="none" w:sz="0" w:space="0" w:color="auto"/>
                <w:right w:val="none" w:sz="0" w:space="0" w:color="auto"/>
              </w:divBdr>
              <w:divsChild>
                <w:div w:id="13270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2523">
      <w:bodyDiv w:val="1"/>
      <w:marLeft w:val="0"/>
      <w:marRight w:val="0"/>
      <w:marTop w:val="0"/>
      <w:marBottom w:val="0"/>
      <w:divBdr>
        <w:top w:val="none" w:sz="0" w:space="0" w:color="auto"/>
        <w:left w:val="none" w:sz="0" w:space="0" w:color="auto"/>
        <w:bottom w:val="none" w:sz="0" w:space="0" w:color="auto"/>
        <w:right w:val="none" w:sz="0" w:space="0" w:color="auto"/>
      </w:divBdr>
      <w:divsChild>
        <w:div w:id="86658961">
          <w:marLeft w:val="0"/>
          <w:marRight w:val="0"/>
          <w:marTop w:val="0"/>
          <w:marBottom w:val="0"/>
          <w:divBdr>
            <w:top w:val="none" w:sz="0" w:space="0" w:color="auto"/>
            <w:left w:val="none" w:sz="0" w:space="0" w:color="auto"/>
            <w:bottom w:val="none" w:sz="0" w:space="0" w:color="auto"/>
            <w:right w:val="none" w:sz="0" w:space="0" w:color="auto"/>
          </w:divBdr>
          <w:divsChild>
            <w:div w:id="1625847676">
              <w:marLeft w:val="0"/>
              <w:marRight w:val="0"/>
              <w:marTop w:val="0"/>
              <w:marBottom w:val="0"/>
              <w:divBdr>
                <w:top w:val="none" w:sz="0" w:space="0" w:color="auto"/>
                <w:left w:val="none" w:sz="0" w:space="0" w:color="auto"/>
                <w:bottom w:val="none" w:sz="0" w:space="0" w:color="auto"/>
                <w:right w:val="none" w:sz="0" w:space="0" w:color="auto"/>
              </w:divBdr>
              <w:divsChild>
                <w:div w:id="7370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61739">
      <w:bodyDiv w:val="1"/>
      <w:marLeft w:val="0"/>
      <w:marRight w:val="0"/>
      <w:marTop w:val="0"/>
      <w:marBottom w:val="0"/>
      <w:divBdr>
        <w:top w:val="none" w:sz="0" w:space="0" w:color="auto"/>
        <w:left w:val="none" w:sz="0" w:space="0" w:color="auto"/>
        <w:bottom w:val="none" w:sz="0" w:space="0" w:color="auto"/>
        <w:right w:val="none" w:sz="0" w:space="0" w:color="auto"/>
      </w:divBdr>
      <w:divsChild>
        <w:div w:id="1173103699">
          <w:marLeft w:val="0"/>
          <w:marRight w:val="0"/>
          <w:marTop w:val="0"/>
          <w:marBottom w:val="0"/>
          <w:divBdr>
            <w:top w:val="none" w:sz="0" w:space="0" w:color="auto"/>
            <w:left w:val="none" w:sz="0" w:space="0" w:color="auto"/>
            <w:bottom w:val="none" w:sz="0" w:space="0" w:color="auto"/>
            <w:right w:val="none" w:sz="0" w:space="0" w:color="auto"/>
          </w:divBdr>
          <w:divsChild>
            <w:div w:id="1502114772">
              <w:marLeft w:val="0"/>
              <w:marRight w:val="0"/>
              <w:marTop w:val="0"/>
              <w:marBottom w:val="0"/>
              <w:divBdr>
                <w:top w:val="none" w:sz="0" w:space="0" w:color="auto"/>
                <w:left w:val="none" w:sz="0" w:space="0" w:color="auto"/>
                <w:bottom w:val="none" w:sz="0" w:space="0" w:color="auto"/>
                <w:right w:val="none" w:sz="0" w:space="0" w:color="auto"/>
              </w:divBdr>
              <w:divsChild>
                <w:div w:id="3761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2021">
      <w:bodyDiv w:val="1"/>
      <w:marLeft w:val="0"/>
      <w:marRight w:val="0"/>
      <w:marTop w:val="0"/>
      <w:marBottom w:val="0"/>
      <w:divBdr>
        <w:top w:val="none" w:sz="0" w:space="0" w:color="auto"/>
        <w:left w:val="none" w:sz="0" w:space="0" w:color="auto"/>
        <w:bottom w:val="none" w:sz="0" w:space="0" w:color="auto"/>
        <w:right w:val="none" w:sz="0" w:space="0" w:color="auto"/>
      </w:divBdr>
      <w:divsChild>
        <w:div w:id="74520178">
          <w:marLeft w:val="0"/>
          <w:marRight w:val="0"/>
          <w:marTop w:val="0"/>
          <w:marBottom w:val="0"/>
          <w:divBdr>
            <w:top w:val="none" w:sz="0" w:space="0" w:color="auto"/>
            <w:left w:val="none" w:sz="0" w:space="0" w:color="auto"/>
            <w:bottom w:val="none" w:sz="0" w:space="0" w:color="auto"/>
            <w:right w:val="none" w:sz="0" w:space="0" w:color="auto"/>
          </w:divBdr>
          <w:divsChild>
            <w:div w:id="2109571014">
              <w:marLeft w:val="0"/>
              <w:marRight w:val="0"/>
              <w:marTop w:val="0"/>
              <w:marBottom w:val="0"/>
              <w:divBdr>
                <w:top w:val="none" w:sz="0" w:space="0" w:color="auto"/>
                <w:left w:val="none" w:sz="0" w:space="0" w:color="auto"/>
                <w:bottom w:val="none" w:sz="0" w:space="0" w:color="auto"/>
                <w:right w:val="none" w:sz="0" w:space="0" w:color="auto"/>
              </w:divBdr>
              <w:divsChild>
                <w:div w:id="16882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610">
      <w:bodyDiv w:val="1"/>
      <w:marLeft w:val="0"/>
      <w:marRight w:val="0"/>
      <w:marTop w:val="0"/>
      <w:marBottom w:val="0"/>
      <w:divBdr>
        <w:top w:val="none" w:sz="0" w:space="0" w:color="auto"/>
        <w:left w:val="none" w:sz="0" w:space="0" w:color="auto"/>
        <w:bottom w:val="none" w:sz="0" w:space="0" w:color="auto"/>
        <w:right w:val="none" w:sz="0" w:space="0" w:color="auto"/>
      </w:divBdr>
      <w:divsChild>
        <w:div w:id="636300455">
          <w:marLeft w:val="0"/>
          <w:marRight w:val="0"/>
          <w:marTop w:val="0"/>
          <w:marBottom w:val="0"/>
          <w:divBdr>
            <w:top w:val="none" w:sz="0" w:space="0" w:color="auto"/>
            <w:left w:val="none" w:sz="0" w:space="0" w:color="auto"/>
            <w:bottom w:val="none" w:sz="0" w:space="0" w:color="auto"/>
            <w:right w:val="none" w:sz="0" w:space="0" w:color="auto"/>
          </w:divBdr>
          <w:divsChild>
            <w:div w:id="1496022663">
              <w:marLeft w:val="0"/>
              <w:marRight w:val="0"/>
              <w:marTop w:val="0"/>
              <w:marBottom w:val="0"/>
              <w:divBdr>
                <w:top w:val="none" w:sz="0" w:space="0" w:color="auto"/>
                <w:left w:val="none" w:sz="0" w:space="0" w:color="auto"/>
                <w:bottom w:val="none" w:sz="0" w:space="0" w:color="auto"/>
                <w:right w:val="none" w:sz="0" w:space="0" w:color="auto"/>
              </w:divBdr>
              <w:divsChild>
                <w:div w:id="2872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91419">
      <w:bodyDiv w:val="1"/>
      <w:marLeft w:val="0"/>
      <w:marRight w:val="0"/>
      <w:marTop w:val="0"/>
      <w:marBottom w:val="0"/>
      <w:divBdr>
        <w:top w:val="none" w:sz="0" w:space="0" w:color="auto"/>
        <w:left w:val="none" w:sz="0" w:space="0" w:color="auto"/>
        <w:bottom w:val="none" w:sz="0" w:space="0" w:color="auto"/>
        <w:right w:val="none" w:sz="0" w:space="0" w:color="auto"/>
      </w:divBdr>
      <w:divsChild>
        <w:div w:id="245655747">
          <w:marLeft w:val="0"/>
          <w:marRight w:val="0"/>
          <w:marTop w:val="0"/>
          <w:marBottom w:val="0"/>
          <w:divBdr>
            <w:top w:val="none" w:sz="0" w:space="0" w:color="auto"/>
            <w:left w:val="none" w:sz="0" w:space="0" w:color="auto"/>
            <w:bottom w:val="none" w:sz="0" w:space="0" w:color="auto"/>
            <w:right w:val="none" w:sz="0" w:space="0" w:color="auto"/>
          </w:divBdr>
          <w:divsChild>
            <w:div w:id="1407800960">
              <w:marLeft w:val="0"/>
              <w:marRight w:val="0"/>
              <w:marTop w:val="0"/>
              <w:marBottom w:val="0"/>
              <w:divBdr>
                <w:top w:val="none" w:sz="0" w:space="0" w:color="auto"/>
                <w:left w:val="none" w:sz="0" w:space="0" w:color="auto"/>
                <w:bottom w:val="none" w:sz="0" w:space="0" w:color="auto"/>
                <w:right w:val="none" w:sz="0" w:space="0" w:color="auto"/>
              </w:divBdr>
              <w:divsChild>
                <w:div w:id="568003750">
                  <w:marLeft w:val="0"/>
                  <w:marRight w:val="0"/>
                  <w:marTop w:val="0"/>
                  <w:marBottom w:val="0"/>
                  <w:divBdr>
                    <w:top w:val="none" w:sz="0" w:space="0" w:color="auto"/>
                    <w:left w:val="none" w:sz="0" w:space="0" w:color="auto"/>
                    <w:bottom w:val="none" w:sz="0" w:space="0" w:color="auto"/>
                    <w:right w:val="none" w:sz="0" w:space="0" w:color="auto"/>
                  </w:divBdr>
                  <w:divsChild>
                    <w:div w:id="5856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8128">
      <w:bodyDiv w:val="1"/>
      <w:marLeft w:val="0"/>
      <w:marRight w:val="0"/>
      <w:marTop w:val="0"/>
      <w:marBottom w:val="0"/>
      <w:divBdr>
        <w:top w:val="none" w:sz="0" w:space="0" w:color="auto"/>
        <w:left w:val="none" w:sz="0" w:space="0" w:color="auto"/>
        <w:bottom w:val="none" w:sz="0" w:space="0" w:color="auto"/>
        <w:right w:val="none" w:sz="0" w:space="0" w:color="auto"/>
      </w:divBdr>
      <w:divsChild>
        <w:div w:id="511334437">
          <w:marLeft w:val="0"/>
          <w:marRight w:val="0"/>
          <w:marTop w:val="0"/>
          <w:marBottom w:val="0"/>
          <w:divBdr>
            <w:top w:val="none" w:sz="0" w:space="0" w:color="auto"/>
            <w:left w:val="none" w:sz="0" w:space="0" w:color="auto"/>
            <w:bottom w:val="none" w:sz="0" w:space="0" w:color="auto"/>
            <w:right w:val="none" w:sz="0" w:space="0" w:color="auto"/>
          </w:divBdr>
          <w:divsChild>
            <w:div w:id="1955092730">
              <w:marLeft w:val="0"/>
              <w:marRight w:val="0"/>
              <w:marTop w:val="0"/>
              <w:marBottom w:val="0"/>
              <w:divBdr>
                <w:top w:val="none" w:sz="0" w:space="0" w:color="auto"/>
                <w:left w:val="none" w:sz="0" w:space="0" w:color="auto"/>
                <w:bottom w:val="none" w:sz="0" w:space="0" w:color="auto"/>
                <w:right w:val="none" w:sz="0" w:space="0" w:color="auto"/>
              </w:divBdr>
              <w:divsChild>
                <w:div w:id="10970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85617">
      <w:bodyDiv w:val="1"/>
      <w:marLeft w:val="0"/>
      <w:marRight w:val="0"/>
      <w:marTop w:val="0"/>
      <w:marBottom w:val="0"/>
      <w:divBdr>
        <w:top w:val="none" w:sz="0" w:space="0" w:color="auto"/>
        <w:left w:val="none" w:sz="0" w:space="0" w:color="auto"/>
        <w:bottom w:val="none" w:sz="0" w:space="0" w:color="auto"/>
        <w:right w:val="none" w:sz="0" w:space="0" w:color="auto"/>
      </w:divBdr>
      <w:divsChild>
        <w:div w:id="1681396632">
          <w:marLeft w:val="0"/>
          <w:marRight w:val="0"/>
          <w:marTop w:val="0"/>
          <w:marBottom w:val="0"/>
          <w:divBdr>
            <w:top w:val="none" w:sz="0" w:space="0" w:color="auto"/>
            <w:left w:val="none" w:sz="0" w:space="0" w:color="auto"/>
            <w:bottom w:val="none" w:sz="0" w:space="0" w:color="auto"/>
            <w:right w:val="none" w:sz="0" w:space="0" w:color="auto"/>
          </w:divBdr>
          <w:divsChild>
            <w:div w:id="499203619">
              <w:marLeft w:val="0"/>
              <w:marRight w:val="0"/>
              <w:marTop w:val="0"/>
              <w:marBottom w:val="0"/>
              <w:divBdr>
                <w:top w:val="none" w:sz="0" w:space="0" w:color="auto"/>
                <w:left w:val="none" w:sz="0" w:space="0" w:color="auto"/>
                <w:bottom w:val="none" w:sz="0" w:space="0" w:color="auto"/>
                <w:right w:val="none" w:sz="0" w:space="0" w:color="auto"/>
              </w:divBdr>
              <w:divsChild>
                <w:div w:id="14557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4640">
      <w:bodyDiv w:val="1"/>
      <w:marLeft w:val="0"/>
      <w:marRight w:val="0"/>
      <w:marTop w:val="0"/>
      <w:marBottom w:val="0"/>
      <w:divBdr>
        <w:top w:val="none" w:sz="0" w:space="0" w:color="auto"/>
        <w:left w:val="none" w:sz="0" w:space="0" w:color="auto"/>
        <w:bottom w:val="none" w:sz="0" w:space="0" w:color="auto"/>
        <w:right w:val="none" w:sz="0" w:space="0" w:color="auto"/>
      </w:divBdr>
      <w:divsChild>
        <w:div w:id="2066178359">
          <w:marLeft w:val="0"/>
          <w:marRight w:val="0"/>
          <w:marTop w:val="0"/>
          <w:marBottom w:val="0"/>
          <w:divBdr>
            <w:top w:val="none" w:sz="0" w:space="0" w:color="auto"/>
            <w:left w:val="none" w:sz="0" w:space="0" w:color="auto"/>
            <w:bottom w:val="none" w:sz="0" w:space="0" w:color="auto"/>
            <w:right w:val="none" w:sz="0" w:space="0" w:color="auto"/>
          </w:divBdr>
          <w:divsChild>
            <w:div w:id="151332529">
              <w:marLeft w:val="0"/>
              <w:marRight w:val="0"/>
              <w:marTop w:val="0"/>
              <w:marBottom w:val="0"/>
              <w:divBdr>
                <w:top w:val="none" w:sz="0" w:space="0" w:color="auto"/>
                <w:left w:val="none" w:sz="0" w:space="0" w:color="auto"/>
                <w:bottom w:val="none" w:sz="0" w:space="0" w:color="auto"/>
                <w:right w:val="none" w:sz="0" w:space="0" w:color="auto"/>
              </w:divBdr>
              <w:divsChild>
                <w:div w:id="360984346">
                  <w:marLeft w:val="0"/>
                  <w:marRight w:val="0"/>
                  <w:marTop w:val="0"/>
                  <w:marBottom w:val="0"/>
                  <w:divBdr>
                    <w:top w:val="none" w:sz="0" w:space="0" w:color="auto"/>
                    <w:left w:val="none" w:sz="0" w:space="0" w:color="auto"/>
                    <w:bottom w:val="none" w:sz="0" w:space="0" w:color="auto"/>
                    <w:right w:val="none" w:sz="0" w:space="0" w:color="auto"/>
                  </w:divBdr>
                </w:div>
              </w:divsChild>
            </w:div>
            <w:div w:id="1860194846">
              <w:marLeft w:val="0"/>
              <w:marRight w:val="0"/>
              <w:marTop w:val="0"/>
              <w:marBottom w:val="0"/>
              <w:divBdr>
                <w:top w:val="none" w:sz="0" w:space="0" w:color="auto"/>
                <w:left w:val="none" w:sz="0" w:space="0" w:color="auto"/>
                <w:bottom w:val="none" w:sz="0" w:space="0" w:color="auto"/>
                <w:right w:val="none" w:sz="0" w:space="0" w:color="auto"/>
              </w:divBdr>
              <w:divsChild>
                <w:div w:id="1592665686">
                  <w:marLeft w:val="0"/>
                  <w:marRight w:val="0"/>
                  <w:marTop w:val="0"/>
                  <w:marBottom w:val="0"/>
                  <w:divBdr>
                    <w:top w:val="none" w:sz="0" w:space="0" w:color="auto"/>
                    <w:left w:val="none" w:sz="0" w:space="0" w:color="auto"/>
                    <w:bottom w:val="none" w:sz="0" w:space="0" w:color="auto"/>
                    <w:right w:val="none" w:sz="0" w:space="0" w:color="auto"/>
                  </w:divBdr>
                  <w:divsChild>
                    <w:div w:id="1833763089">
                      <w:marLeft w:val="0"/>
                      <w:marRight w:val="0"/>
                      <w:marTop w:val="0"/>
                      <w:marBottom w:val="0"/>
                      <w:divBdr>
                        <w:top w:val="none" w:sz="0" w:space="0" w:color="auto"/>
                        <w:left w:val="none" w:sz="0" w:space="0" w:color="auto"/>
                        <w:bottom w:val="none" w:sz="0" w:space="0" w:color="auto"/>
                        <w:right w:val="none" w:sz="0" w:space="0" w:color="auto"/>
                      </w:divBdr>
                      <w:divsChild>
                        <w:div w:id="19005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8475">
                  <w:marLeft w:val="0"/>
                  <w:marRight w:val="0"/>
                  <w:marTop w:val="0"/>
                  <w:marBottom w:val="0"/>
                  <w:divBdr>
                    <w:top w:val="none" w:sz="0" w:space="0" w:color="auto"/>
                    <w:left w:val="none" w:sz="0" w:space="0" w:color="auto"/>
                    <w:bottom w:val="none" w:sz="0" w:space="0" w:color="auto"/>
                    <w:right w:val="none" w:sz="0" w:space="0" w:color="auto"/>
                  </w:divBdr>
                  <w:divsChild>
                    <w:div w:id="903181892">
                      <w:marLeft w:val="0"/>
                      <w:marRight w:val="0"/>
                      <w:marTop w:val="0"/>
                      <w:marBottom w:val="0"/>
                      <w:divBdr>
                        <w:top w:val="none" w:sz="0" w:space="0" w:color="auto"/>
                        <w:left w:val="none" w:sz="0" w:space="0" w:color="auto"/>
                        <w:bottom w:val="none" w:sz="0" w:space="0" w:color="auto"/>
                        <w:right w:val="none" w:sz="0" w:space="0" w:color="auto"/>
                      </w:divBdr>
                      <w:divsChild>
                        <w:div w:id="11317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763786">
      <w:bodyDiv w:val="1"/>
      <w:marLeft w:val="0"/>
      <w:marRight w:val="0"/>
      <w:marTop w:val="0"/>
      <w:marBottom w:val="0"/>
      <w:divBdr>
        <w:top w:val="none" w:sz="0" w:space="0" w:color="auto"/>
        <w:left w:val="none" w:sz="0" w:space="0" w:color="auto"/>
        <w:bottom w:val="none" w:sz="0" w:space="0" w:color="auto"/>
        <w:right w:val="none" w:sz="0" w:space="0" w:color="auto"/>
      </w:divBdr>
      <w:divsChild>
        <w:div w:id="1961109508">
          <w:marLeft w:val="0"/>
          <w:marRight w:val="0"/>
          <w:marTop w:val="0"/>
          <w:marBottom w:val="0"/>
          <w:divBdr>
            <w:top w:val="none" w:sz="0" w:space="0" w:color="auto"/>
            <w:left w:val="none" w:sz="0" w:space="0" w:color="auto"/>
            <w:bottom w:val="none" w:sz="0" w:space="0" w:color="auto"/>
            <w:right w:val="none" w:sz="0" w:space="0" w:color="auto"/>
          </w:divBdr>
          <w:divsChild>
            <w:div w:id="1134640565">
              <w:marLeft w:val="0"/>
              <w:marRight w:val="0"/>
              <w:marTop w:val="0"/>
              <w:marBottom w:val="0"/>
              <w:divBdr>
                <w:top w:val="none" w:sz="0" w:space="0" w:color="auto"/>
                <w:left w:val="none" w:sz="0" w:space="0" w:color="auto"/>
                <w:bottom w:val="none" w:sz="0" w:space="0" w:color="auto"/>
                <w:right w:val="none" w:sz="0" w:space="0" w:color="auto"/>
              </w:divBdr>
              <w:divsChild>
                <w:div w:id="4172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7145">
      <w:bodyDiv w:val="1"/>
      <w:marLeft w:val="0"/>
      <w:marRight w:val="0"/>
      <w:marTop w:val="0"/>
      <w:marBottom w:val="0"/>
      <w:divBdr>
        <w:top w:val="none" w:sz="0" w:space="0" w:color="auto"/>
        <w:left w:val="none" w:sz="0" w:space="0" w:color="auto"/>
        <w:bottom w:val="none" w:sz="0" w:space="0" w:color="auto"/>
        <w:right w:val="none" w:sz="0" w:space="0" w:color="auto"/>
      </w:divBdr>
    </w:div>
    <w:div w:id="903295258">
      <w:bodyDiv w:val="1"/>
      <w:marLeft w:val="0"/>
      <w:marRight w:val="0"/>
      <w:marTop w:val="0"/>
      <w:marBottom w:val="0"/>
      <w:divBdr>
        <w:top w:val="none" w:sz="0" w:space="0" w:color="auto"/>
        <w:left w:val="none" w:sz="0" w:space="0" w:color="auto"/>
        <w:bottom w:val="none" w:sz="0" w:space="0" w:color="auto"/>
        <w:right w:val="none" w:sz="0" w:space="0" w:color="auto"/>
      </w:divBdr>
      <w:divsChild>
        <w:div w:id="735857988">
          <w:marLeft w:val="0"/>
          <w:marRight w:val="0"/>
          <w:marTop w:val="0"/>
          <w:marBottom w:val="0"/>
          <w:divBdr>
            <w:top w:val="none" w:sz="0" w:space="0" w:color="auto"/>
            <w:left w:val="none" w:sz="0" w:space="0" w:color="auto"/>
            <w:bottom w:val="none" w:sz="0" w:space="0" w:color="auto"/>
            <w:right w:val="none" w:sz="0" w:space="0" w:color="auto"/>
          </w:divBdr>
          <w:divsChild>
            <w:div w:id="1517378284">
              <w:marLeft w:val="0"/>
              <w:marRight w:val="0"/>
              <w:marTop w:val="0"/>
              <w:marBottom w:val="0"/>
              <w:divBdr>
                <w:top w:val="none" w:sz="0" w:space="0" w:color="auto"/>
                <w:left w:val="none" w:sz="0" w:space="0" w:color="auto"/>
                <w:bottom w:val="none" w:sz="0" w:space="0" w:color="auto"/>
                <w:right w:val="none" w:sz="0" w:space="0" w:color="auto"/>
              </w:divBdr>
              <w:divsChild>
                <w:div w:id="829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4779">
      <w:bodyDiv w:val="1"/>
      <w:marLeft w:val="0"/>
      <w:marRight w:val="0"/>
      <w:marTop w:val="0"/>
      <w:marBottom w:val="0"/>
      <w:divBdr>
        <w:top w:val="none" w:sz="0" w:space="0" w:color="auto"/>
        <w:left w:val="none" w:sz="0" w:space="0" w:color="auto"/>
        <w:bottom w:val="none" w:sz="0" w:space="0" w:color="auto"/>
        <w:right w:val="none" w:sz="0" w:space="0" w:color="auto"/>
      </w:divBdr>
      <w:divsChild>
        <w:div w:id="1376344752">
          <w:marLeft w:val="0"/>
          <w:marRight w:val="0"/>
          <w:marTop w:val="0"/>
          <w:marBottom w:val="0"/>
          <w:divBdr>
            <w:top w:val="none" w:sz="0" w:space="0" w:color="auto"/>
            <w:left w:val="none" w:sz="0" w:space="0" w:color="auto"/>
            <w:bottom w:val="none" w:sz="0" w:space="0" w:color="auto"/>
            <w:right w:val="none" w:sz="0" w:space="0" w:color="auto"/>
          </w:divBdr>
          <w:divsChild>
            <w:div w:id="1081295051">
              <w:marLeft w:val="0"/>
              <w:marRight w:val="0"/>
              <w:marTop w:val="0"/>
              <w:marBottom w:val="0"/>
              <w:divBdr>
                <w:top w:val="none" w:sz="0" w:space="0" w:color="auto"/>
                <w:left w:val="none" w:sz="0" w:space="0" w:color="auto"/>
                <w:bottom w:val="none" w:sz="0" w:space="0" w:color="auto"/>
                <w:right w:val="none" w:sz="0" w:space="0" w:color="auto"/>
              </w:divBdr>
              <w:divsChild>
                <w:div w:id="19687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8428">
      <w:bodyDiv w:val="1"/>
      <w:marLeft w:val="0"/>
      <w:marRight w:val="0"/>
      <w:marTop w:val="0"/>
      <w:marBottom w:val="0"/>
      <w:divBdr>
        <w:top w:val="none" w:sz="0" w:space="0" w:color="auto"/>
        <w:left w:val="none" w:sz="0" w:space="0" w:color="auto"/>
        <w:bottom w:val="none" w:sz="0" w:space="0" w:color="auto"/>
        <w:right w:val="none" w:sz="0" w:space="0" w:color="auto"/>
      </w:divBdr>
      <w:divsChild>
        <w:div w:id="155074930">
          <w:marLeft w:val="0"/>
          <w:marRight w:val="0"/>
          <w:marTop w:val="0"/>
          <w:marBottom w:val="0"/>
          <w:divBdr>
            <w:top w:val="none" w:sz="0" w:space="0" w:color="auto"/>
            <w:left w:val="none" w:sz="0" w:space="0" w:color="auto"/>
            <w:bottom w:val="none" w:sz="0" w:space="0" w:color="auto"/>
            <w:right w:val="none" w:sz="0" w:space="0" w:color="auto"/>
          </w:divBdr>
          <w:divsChild>
            <w:div w:id="1955937074">
              <w:marLeft w:val="0"/>
              <w:marRight w:val="0"/>
              <w:marTop w:val="0"/>
              <w:marBottom w:val="0"/>
              <w:divBdr>
                <w:top w:val="none" w:sz="0" w:space="0" w:color="auto"/>
                <w:left w:val="none" w:sz="0" w:space="0" w:color="auto"/>
                <w:bottom w:val="none" w:sz="0" w:space="0" w:color="auto"/>
                <w:right w:val="none" w:sz="0" w:space="0" w:color="auto"/>
              </w:divBdr>
              <w:divsChild>
                <w:div w:id="1691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25847">
      <w:bodyDiv w:val="1"/>
      <w:marLeft w:val="0"/>
      <w:marRight w:val="0"/>
      <w:marTop w:val="0"/>
      <w:marBottom w:val="0"/>
      <w:divBdr>
        <w:top w:val="none" w:sz="0" w:space="0" w:color="auto"/>
        <w:left w:val="none" w:sz="0" w:space="0" w:color="auto"/>
        <w:bottom w:val="none" w:sz="0" w:space="0" w:color="auto"/>
        <w:right w:val="none" w:sz="0" w:space="0" w:color="auto"/>
      </w:divBdr>
      <w:divsChild>
        <w:div w:id="628828194">
          <w:marLeft w:val="0"/>
          <w:marRight w:val="0"/>
          <w:marTop w:val="0"/>
          <w:marBottom w:val="0"/>
          <w:divBdr>
            <w:top w:val="none" w:sz="0" w:space="0" w:color="auto"/>
            <w:left w:val="none" w:sz="0" w:space="0" w:color="auto"/>
            <w:bottom w:val="none" w:sz="0" w:space="0" w:color="auto"/>
            <w:right w:val="none" w:sz="0" w:space="0" w:color="auto"/>
          </w:divBdr>
          <w:divsChild>
            <w:div w:id="375740416">
              <w:marLeft w:val="0"/>
              <w:marRight w:val="0"/>
              <w:marTop w:val="0"/>
              <w:marBottom w:val="0"/>
              <w:divBdr>
                <w:top w:val="none" w:sz="0" w:space="0" w:color="auto"/>
                <w:left w:val="none" w:sz="0" w:space="0" w:color="auto"/>
                <w:bottom w:val="none" w:sz="0" w:space="0" w:color="auto"/>
                <w:right w:val="none" w:sz="0" w:space="0" w:color="auto"/>
              </w:divBdr>
              <w:divsChild>
                <w:div w:id="1800758629">
                  <w:marLeft w:val="0"/>
                  <w:marRight w:val="0"/>
                  <w:marTop w:val="0"/>
                  <w:marBottom w:val="0"/>
                  <w:divBdr>
                    <w:top w:val="none" w:sz="0" w:space="0" w:color="auto"/>
                    <w:left w:val="none" w:sz="0" w:space="0" w:color="auto"/>
                    <w:bottom w:val="none" w:sz="0" w:space="0" w:color="auto"/>
                    <w:right w:val="none" w:sz="0" w:space="0" w:color="auto"/>
                  </w:divBdr>
                </w:div>
                <w:div w:id="1842348979">
                  <w:marLeft w:val="0"/>
                  <w:marRight w:val="0"/>
                  <w:marTop w:val="0"/>
                  <w:marBottom w:val="0"/>
                  <w:divBdr>
                    <w:top w:val="none" w:sz="0" w:space="0" w:color="auto"/>
                    <w:left w:val="none" w:sz="0" w:space="0" w:color="auto"/>
                    <w:bottom w:val="none" w:sz="0" w:space="0" w:color="auto"/>
                    <w:right w:val="none" w:sz="0" w:space="0" w:color="auto"/>
                  </w:divBdr>
                </w:div>
                <w:div w:id="1766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3996">
      <w:bodyDiv w:val="1"/>
      <w:marLeft w:val="0"/>
      <w:marRight w:val="0"/>
      <w:marTop w:val="0"/>
      <w:marBottom w:val="0"/>
      <w:divBdr>
        <w:top w:val="none" w:sz="0" w:space="0" w:color="auto"/>
        <w:left w:val="none" w:sz="0" w:space="0" w:color="auto"/>
        <w:bottom w:val="none" w:sz="0" w:space="0" w:color="auto"/>
        <w:right w:val="none" w:sz="0" w:space="0" w:color="auto"/>
      </w:divBdr>
      <w:divsChild>
        <w:div w:id="522403159">
          <w:marLeft w:val="0"/>
          <w:marRight w:val="0"/>
          <w:marTop w:val="0"/>
          <w:marBottom w:val="0"/>
          <w:divBdr>
            <w:top w:val="none" w:sz="0" w:space="0" w:color="auto"/>
            <w:left w:val="none" w:sz="0" w:space="0" w:color="auto"/>
            <w:bottom w:val="none" w:sz="0" w:space="0" w:color="auto"/>
            <w:right w:val="none" w:sz="0" w:space="0" w:color="auto"/>
          </w:divBdr>
          <w:divsChild>
            <w:div w:id="1436511324">
              <w:marLeft w:val="0"/>
              <w:marRight w:val="0"/>
              <w:marTop w:val="0"/>
              <w:marBottom w:val="0"/>
              <w:divBdr>
                <w:top w:val="none" w:sz="0" w:space="0" w:color="auto"/>
                <w:left w:val="none" w:sz="0" w:space="0" w:color="auto"/>
                <w:bottom w:val="none" w:sz="0" w:space="0" w:color="auto"/>
                <w:right w:val="none" w:sz="0" w:space="0" w:color="auto"/>
              </w:divBdr>
              <w:divsChild>
                <w:div w:id="15897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1566">
      <w:bodyDiv w:val="1"/>
      <w:marLeft w:val="0"/>
      <w:marRight w:val="0"/>
      <w:marTop w:val="0"/>
      <w:marBottom w:val="0"/>
      <w:divBdr>
        <w:top w:val="none" w:sz="0" w:space="0" w:color="auto"/>
        <w:left w:val="none" w:sz="0" w:space="0" w:color="auto"/>
        <w:bottom w:val="none" w:sz="0" w:space="0" w:color="auto"/>
        <w:right w:val="none" w:sz="0" w:space="0" w:color="auto"/>
      </w:divBdr>
      <w:divsChild>
        <w:div w:id="1617565710">
          <w:marLeft w:val="0"/>
          <w:marRight w:val="0"/>
          <w:marTop w:val="0"/>
          <w:marBottom w:val="0"/>
          <w:divBdr>
            <w:top w:val="none" w:sz="0" w:space="0" w:color="auto"/>
            <w:left w:val="none" w:sz="0" w:space="0" w:color="auto"/>
            <w:bottom w:val="none" w:sz="0" w:space="0" w:color="auto"/>
            <w:right w:val="none" w:sz="0" w:space="0" w:color="auto"/>
          </w:divBdr>
          <w:divsChild>
            <w:div w:id="232736131">
              <w:marLeft w:val="0"/>
              <w:marRight w:val="0"/>
              <w:marTop w:val="0"/>
              <w:marBottom w:val="0"/>
              <w:divBdr>
                <w:top w:val="none" w:sz="0" w:space="0" w:color="auto"/>
                <w:left w:val="none" w:sz="0" w:space="0" w:color="auto"/>
                <w:bottom w:val="none" w:sz="0" w:space="0" w:color="auto"/>
                <w:right w:val="none" w:sz="0" w:space="0" w:color="auto"/>
              </w:divBdr>
              <w:divsChild>
                <w:div w:id="7188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6926">
      <w:bodyDiv w:val="1"/>
      <w:marLeft w:val="0"/>
      <w:marRight w:val="0"/>
      <w:marTop w:val="0"/>
      <w:marBottom w:val="0"/>
      <w:divBdr>
        <w:top w:val="none" w:sz="0" w:space="0" w:color="auto"/>
        <w:left w:val="none" w:sz="0" w:space="0" w:color="auto"/>
        <w:bottom w:val="none" w:sz="0" w:space="0" w:color="auto"/>
        <w:right w:val="none" w:sz="0" w:space="0" w:color="auto"/>
      </w:divBdr>
      <w:divsChild>
        <w:div w:id="2083336277">
          <w:marLeft w:val="0"/>
          <w:marRight w:val="0"/>
          <w:marTop w:val="0"/>
          <w:marBottom w:val="0"/>
          <w:divBdr>
            <w:top w:val="none" w:sz="0" w:space="0" w:color="auto"/>
            <w:left w:val="none" w:sz="0" w:space="0" w:color="auto"/>
            <w:bottom w:val="none" w:sz="0" w:space="0" w:color="auto"/>
            <w:right w:val="none" w:sz="0" w:space="0" w:color="auto"/>
          </w:divBdr>
          <w:divsChild>
            <w:div w:id="464658921">
              <w:marLeft w:val="0"/>
              <w:marRight w:val="0"/>
              <w:marTop w:val="0"/>
              <w:marBottom w:val="0"/>
              <w:divBdr>
                <w:top w:val="none" w:sz="0" w:space="0" w:color="auto"/>
                <w:left w:val="none" w:sz="0" w:space="0" w:color="auto"/>
                <w:bottom w:val="none" w:sz="0" w:space="0" w:color="auto"/>
                <w:right w:val="none" w:sz="0" w:space="0" w:color="auto"/>
              </w:divBdr>
              <w:divsChild>
                <w:div w:id="908153449">
                  <w:marLeft w:val="0"/>
                  <w:marRight w:val="0"/>
                  <w:marTop w:val="0"/>
                  <w:marBottom w:val="0"/>
                  <w:divBdr>
                    <w:top w:val="none" w:sz="0" w:space="0" w:color="auto"/>
                    <w:left w:val="none" w:sz="0" w:space="0" w:color="auto"/>
                    <w:bottom w:val="none" w:sz="0" w:space="0" w:color="auto"/>
                    <w:right w:val="none" w:sz="0" w:space="0" w:color="auto"/>
                  </w:divBdr>
                </w:div>
                <w:div w:id="4556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0486">
      <w:bodyDiv w:val="1"/>
      <w:marLeft w:val="0"/>
      <w:marRight w:val="0"/>
      <w:marTop w:val="0"/>
      <w:marBottom w:val="0"/>
      <w:divBdr>
        <w:top w:val="none" w:sz="0" w:space="0" w:color="auto"/>
        <w:left w:val="none" w:sz="0" w:space="0" w:color="auto"/>
        <w:bottom w:val="none" w:sz="0" w:space="0" w:color="auto"/>
        <w:right w:val="none" w:sz="0" w:space="0" w:color="auto"/>
      </w:divBdr>
      <w:divsChild>
        <w:div w:id="1019165205">
          <w:marLeft w:val="0"/>
          <w:marRight w:val="0"/>
          <w:marTop w:val="0"/>
          <w:marBottom w:val="0"/>
          <w:divBdr>
            <w:top w:val="none" w:sz="0" w:space="0" w:color="auto"/>
            <w:left w:val="none" w:sz="0" w:space="0" w:color="auto"/>
            <w:bottom w:val="none" w:sz="0" w:space="0" w:color="auto"/>
            <w:right w:val="none" w:sz="0" w:space="0" w:color="auto"/>
          </w:divBdr>
          <w:divsChild>
            <w:div w:id="385758010">
              <w:marLeft w:val="0"/>
              <w:marRight w:val="0"/>
              <w:marTop w:val="0"/>
              <w:marBottom w:val="0"/>
              <w:divBdr>
                <w:top w:val="none" w:sz="0" w:space="0" w:color="auto"/>
                <w:left w:val="none" w:sz="0" w:space="0" w:color="auto"/>
                <w:bottom w:val="none" w:sz="0" w:space="0" w:color="auto"/>
                <w:right w:val="none" w:sz="0" w:space="0" w:color="auto"/>
              </w:divBdr>
              <w:divsChild>
                <w:div w:id="21213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8016">
      <w:bodyDiv w:val="1"/>
      <w:marLeft w:val="0"/>
      <w:marRight w:val="0"/>
      <w:marTop w:val="0"/>
      <w:marBottom w:val="0"/>
      <w:divBdr>
        <w:top w:val="none" w:sz="0" w:space="0" w:color="auto"/>
        <w:left w:val="none" w:sz="0" w:space="0" w:color="auto"/>
        <w:bottom w:val="none" w:sz="0" w:space="0" w:color="auto"/>
        <w:right w:val="none" w:sz="0" w:space="0" w:color="auto"/>
      </w:divBdr>
      <w:divsChild>
        <w:div w:id="1710908719">
          <w:marLeft w:val="0"/>
          <w:marRight w:val="0"/>
          <w:marTop w:val="0"/>
          <w:marBottom w:val="0"/>
          <w:divBdr>
            <w:top w:val="none" w:sz="0" w:space="0" w:color="auto"/>
            <w:left w:val="none" w:sz="0" w:space="0" w:color="auto"/>
            <w:bottom w:val="none" w:sz="0" w:space="0" w:color="auto"/>
            <w:right w:val="none" w:sz="0" w:space="0" w:color="auto"/>
          </w:divBdr>
          <w:divsChild>
            <w:div w:id="734275472">
              <w:marLeft w:val="0"/>
              <w:marRight w:val="0"/>
              <w:marTop w:val="0"/>
              <w:marBottom w:val="0"/>
              <w:divBdr>
                <w:top w:val="none" w:sz="0" w:space="0" w:color="auto"/>
                <w:left w:val="none" w:sz="0" w:space="0" w:color="auto"/>
                <w:bottom w:val="none" w:sz="0" w:space="0" w:color="auto"/>
                <w:right w:val="none" w:sz="0" w:space="0" w:color="auto"/>
              </w:divBdr>
              <w:divsChild>
                <w:div w:id="20969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6982">
      <w:bodyDiv w:val="1"/>
      <w:marLeft w:val="0"/>
      <w:marRight w:val="0"/>
      <w:marTop w:val="0"/>
      <w:marBottom w:val="0"/>
      <w:divBdr>
        <w:top w:val="none" w:sz="0" w:space="0" w:color="auto"/>
        <w:left w:val="none" w:sz="0" w:space="0" w:color="auto"/>
        <w:bottom w:val="none" w:sz="0" w:space="0" w:color="auto"/>
        <w:right w:val="none" w:sz="0" w:space="0" w:color="auto"/>
      </w:divBdr>
      <w:divsChild>
        <w:div w:id="1617373906">
          <w:marLeft w:val="0"/>
          <w:marRight w:val="0"/>
          <w:marTop w:val="0"/>
          <w:marBottom w:val="0"/>
          <w:divBdr>
            <w:top w:val="none" w:sz="0" w:space="0" w:color="auto"/>
            <w:left w:val="none" w:sz="0" w:space="0" w:color="auto"/>
            <w:bottom w:val="none" w:sz="0" w:space="0" w:color="auto"/>
            <w:right w:val="none" w:sz="0" w:space="0" w:color="auto"/>
          </w:divBdr>
          <w:divsChild>
            <w:div w:id="1491368574">
              <w:marLeft w:val="0"/>
              <w:marRight w:val="0"/>
              <w:marTop w:val="0"/>
              <w:marBottom w:val="0"/>
              <w:divBdr>
                <w:top w:val="none" w:sz="0" w:space="0" w:color="auto"/>
                <w:left w:val="none" w:sz="0" w:space="0" w:color="auto"/>
                <w:bottom w:val="none" w:sz="0" w:space="0" w:color="auto"/>
                <w:right w:val="none" w:sz="0" w:space="0" w:color="auto"/>
              </w:divBdr>
              <w:divsChild>
                <w:div w:id="19648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3806">
      <w:bodyDiv w:val="1"/>
      <w:marLeft w:val="0"/>
      <w:marRight w:val="0"/>
      <w:marTop w:val="0"/>
      <w:marBottom w:val="0"/>
      <w:divBdr>
        <w:top w:val="none" w:sz="0" w:space="0" w:color="auto"/>
        <w:left w:val="none" w:sz="0" w:space="0" w:color="auto"/>
        <w:bottom w:val="none" w:sz="0" w:space="0" w:color="auto"/>
        <w:right w:val="none" w:sz="0" w:space="0" w:color="auto"/>
      </w:divBdr>
      <w:divsChild>
        <w:div w:id="1017267327">
          <w:marLeft w:val="0"/>
          <w:marRight w:val="0"/>
          <w:marTop w:val="0"/>
          <w:marBottom w:val="0"/>
          <w:divBdr>
            <w:top w:val="none" w:sz="0" w:space="0" w:color="auto"/>
            <w:left w:val="none" w:sz="0" w:space="0" w:color="auto"/>
            <w:bottom w:val="none" w:sz="0" w:space="0" w:color="auto"/>
            <w:right w:val="none" w:sz="0" w:space="0" w:color="auto"/>
          </w:divBdr>
          <w:divsChild>
            <w:div w:id="904680936">
              <w:marLeft w:val="0"/>
              <w:marRight w:val="0"/>
              <w:marTop w:val="0"/>
              <w:marBottom w:val="0"/>
              <w:divBdr>
                <w:top w:val="none" w:sz="0" w:space="0" w:color="auto"/>
                <w:left w:val="none" w:sz="0" w:space="0" w:color="auto"/>
                <w:bottom w:val="none" w:sz="0" w:space="0" w:color="auto"/>
                <w:right w:val="none" w:sz="0" w:space="0" w:color="auto"/>
              </w:divBdr>
              <w:divsChild>
                <w:div w:id="1207984733">
                  <w:marLeft w:val="0"/>
                  <w:marRight w:val="0"/>
                  <w:marTop w:val="0"/>
                  <w:marBottom w:val="0"/>
                  <w:divBdr>
                    <w:top w:val="none" w:sz="0" w:space="0" w:color="auto"/>
                    <w:left w:val="none" w:sz="0" w:space="0" w:color="auto"/>
                    <w:bottom w:val="none" w:sz="0" w:space="0" w:color="auto"/>
                    <w:right w:val="none" w:sz="0" w:space="0" w:color="auto"/>
                  </w:divBdr>
                </w:div>
                <w:div w:id="9344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31924">
      <w:bodyDiv w:val="1"/>
      <w:marLeft w:val="0"/>
      <w:marRight w:val="0"/>
      <w:marTop w:val="0"/>
      <w:marBottom w:val="0"/>
      <w:divBdr>
        <w:top w:val="none" w:sz="0" w:space="0" w:color="auto"/>
        <w:left w:val="none" w:sz="0" w:space="0" w:color="auto"/>
        <w:bottom w:val="none" w:sz="0" w:space="0" w:color="auto"/>
        <w:right w:val="none" w:sz="0" w:space="0" w:color="auto"/>
      </w:divBdr>
      <w:divsChild>
        <w:div w:id="433285076">
          <w:marLeft w:val="0"/>
          <w:marRight w:val="0"/>
          <w:marTop w:val="0"/>
          <w:marBottom w:val="0"/>
          <w:divBdr>
            <w:top w:val="none" w:sz="0" w:space="0" w:color="auto"/>
            <w:left w:val="none" w:sz="0" w:space="0" w:color="auto"/>
            <w:bottom w:val="none" w:sz="0" w:space="0" w:color="auto"/>
            <w:right w:val="none" w:sz="0" w:space="0" w:color="auto"/>
          </w:divBdr>
          <w:divsChild>
            <w:div w:id="1025205599">
              <w:marLeft w:val="0"/>
              <w:marRight w:val="0"/>
              <w:marTop w:val="0"/>
              <w:marBottom w:val="0"/>
              <w:divBdr>
                <w:top w:val="none" w:sz="0" w:space="0" w:color="auto"/>
                <w:left w:val="none" w:sz="0" w:space="0" w:color="auto"/>
                <w:bottom w:val="none" w:sz="0" w:space="0" w:color="auto"/>
                <w:right w:val="none" w:sz="0" w:space="0" w:color="auto"/>
              </w:divBdr>
              <w:divsChild>
                <w:div w:id="19418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8933">
      <w:bodyDiv w:val="1"/>
      <w:marLeft w:val="0"/>
      <w:marRight w:val="0"/>
      <w:marTop w:val="0"/>
      <w:marBottom w:val="0"/>
      <w:divBdr>
        <w:top w:val="none" w:sz="0" w:space="0" w:color="auto"/>
        <w:left w:val="none" w:sz="0" w:space="0" w:color="auto"/>
        <w:bottom w:val="none" w:sz="0" w:space="0" w:color="auto"/>
        <w:right w:val="none" w:sz="0" w:space="0" w:color="auto"/>
      </w:divBdr>
      <w:divsChild>
        <w:div w:id="2019770515">
          <w:marLeft w:val="0"/>
          <w:marRight w:val="0"/>
          <w:marTop w:val="0"/>
          <w:marBottom w:val="0"/>
          <w:divBdr>
            <w:top w:val="none" w:sz="0" w:space="0" w:color="auto"/>
            <w:left w:val="none" w:sz="0" w:space="0" w:color="auto"/>
            <w:bottom w:val="none" w:sz="0" w:space="0" w:color="auto"/>
            <w:right w:val="none" w:sz="0" w:space="0" w:color="auto"/>
          </w:divBdr>
          <w:divsChild>
            <w:div w:id="1862623699">
              <w:marLeft w:val="0"/>
              <w:marRight w:val="0"/>
              <w:marTop w:val="0"/>
              <w:marBottom w:val="0"/>
              <w:divBdr>
                <w:top w:val="none" w:sz="0" w:space="0" w:color="auto"/>
                <w:left w:val="none" w:sz="0" w:space="0" w:color="auto"/>
                <w:bottom w:val="none" w:sz="0" w:space="0" w:color="auto"/>
                <w:right w:val="none" w:sz="0" w:space="0" w:color="auto"/>
              </w:divBdr>
              <w:divsChild>
                <w:div w:id="9696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6595">
      <w:bodyDiv w:val="1"/>
      <w:marLeft w:val="0"/>
      <w:marRight w:val="0"/>
      <w:marTop w:val="0"/>
      <w:marBottom w:val="0"/>
      <w:divBdr>
        <w:top w:val="none" w:sz="0" w:space="0" w:color="auto"/>
        <w:left w:val="none" w:sz="0" w:space="0" w:color="auto"/>
        <w:bottom w:val="none" w:sz="0" w:space="0" w:color="auto"/>
        <w:right w:val="none" w:sz="0" w:space="0" w:color="auto"/>
      </w:divBdr>
      <w:divsChild>
        <w:div w:id="1255431360">
          <w:marLeft w:val="0"/>
          <w:marRight w:val="0"/>
          <w:marTop w:val="0"/>
          <w:marBottom w:val="0"/>
          <w:divBdr>
            <w:top w:val="none" w:sz="0" w:space="0" w:color="auto"/>
            <w:left w:val="none" w:sz="0" w:space="0" w:color="auto"/>
            <w:bottom w:val="none" w:sz="0" w:space="0" w:color="auto"/>
            <w:right w:val="none" w:sz="0" w:space="0" w:color="auto"/>
          </w:divBdr>
          <w:divsChild>
            <w:div w:id="1910340782">
              <w:marLeft w:val="0"/>
              <w:marRight w:val="0"/>
              <w:marTop w:val="0"/>
              <w:marBottom w:val="0"/>
              <w:divBdr>
                <w:top w:val="none" w:sz="0" w:space="0" w:color="auto"/>
                <w:left w:val="none" w:sz="0" w:space="0" w:color="auto"/>
                <w:bottom w:val="none" w:sz="0" w:space="0" w:color="auto"/>
                <w:right w:val="none" w:sz="0" w:space="0" w:color="auto"/>
              </w:divBdr>
              <w:divsChild>
                <w:div w:id="7249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22426">
      <w:bodyDiv w:val="1"/>
      <w:marLeft w:val="0"/>
      <w:marRight w:val="0"/>
      <w:marTop w:val="0"/>
      <w:marBottom w:val="0"/>
      <w:divBdr>
        <w:top w:val="none" w:sz="0" w:space="0" w:color="auto"/>
        <w:left w:val="none" w:sz="0" w:space="0" w:color="auto"/>
        <w:bottom w:val="none" w:sz="0" w:space="0" w:color="auto"/>
        <w:right w:val="none" w:sz="0" w:space="0" w:color="auto"/>
      </w:divBdr>
      <w:divsChild>
        <w:div w:id="1412581126">
          <w:marLeft w:val="0"/>
          <w:marRight w:val="0"/>
          <w:marTop w:val="0"/>
          <w:marBottom w:val="0"/>
          <w:divBdr>
            <w:top w:val="none" w:sz="0" w:space="0" w:color="auto"/>
            <w:left w:val="none" w:sz="0" w:space="0" w:color="auto"/>
            <w:bottom w:val="none" w:sz="0" w:space="0" w:color="auto"/>
            <w:right w:val="none" w:sz="0" w:space="0" w:color="auto"/>
          </w:divBdr>
          <w:divsChild>
            <w:div w:id="1185167780">
              <w:marLeft w:val="0"/>
              <w:marRight w:val="0"/>
              <w:marTop w:val="0"/>
              <w:marBottom w:val="0"/>
              <w:divBdr>
                <w:top w:val="none" w:sz="0" w:space="0" w:color="auto"/>
                <w:left w:val="none" w:sz="0" w:space="0" w:color="auto"/>
                <w:bottom w:val="none" w:sz="0" w:space="0" w:color="auto"/>
                <w:right w:val="none" w:sz="0" w:space="0" w:color="auto"/>
              </w:divBdr>
              <w:divsChild>
                <w:div w:id="15076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2894">
      <w:bodyDiv w:val="1"/>
      <w:marLeft w:val="0"/>
      <w:marRight w:val="0"/>
      <w:marTop w:val="0"/>
      <w:marBottom w:val="0"/>
      <w:divBdr>
        <w:top w:val="none" w:sz="0" w:space="0" w:color="auto"/>
        <w:left w:val="none" w:sz="0" w:space="0" w:color="auto"/>
        <w:bottom w:val="none" w:sz="0" w:space="0" w:color="auto"/>
        <w:right w:val="none" w:sz="0" w:space="0" w:color="auto"/>
      </w:divBdr>
      <w:divsChild>
        <w:div w:id="1383098198">
          <w:marLeft w:val="0"/>
          <w:marRight w:val="0"/>
          <w:marTop w:val="0"/>
          <w:marBottom w:val="0"/>
          <w:divBdr>
            <w:top w:val="none" w:sz="0" w:space="0" w:color="auto"/>
            <w:left w:val="none" w:sz="0" w:space="0" w:color="auto"/>
            <w:bottom w:val="none" w:sz="0" w:space="0" w:color="auto"/>
            <w:right w:val="none" w:sz="0" w:space="0" w:color="auto"/>
          </w:divBdr>
          <w:divsChild>
            <w:div w:id="55318535">
              <w:marLeft w:val="0"/>
              <w:marRight w:val="0"/>
              <w:marTop w:val="0"/>
              <w:marBottom w:val="0"/>
              <w:divBdr>
                <w:top w:val="none" w:sz="0" w:space="0" w:color="auto"/>
                <w:left w:val="none" w:sz="0" w:space="0" w:color="auto"/>
                <w:bottom w:val="none" w:sz="0" w:space="0" w:color="auto"/>
                <w:right w:val="none" w:sz="0" w:space="0" w:color="auto"/>
              </w:divBdr>
              <w:divsChild>
                <w:div w:id="1284387958">
                  <w:marLeft w:val="0"/>
                  <w:marRight w:val="0"/>
                  <w:marTop w:val="0"/>
                  <w:marBottom w:val="0"/>
                  <w:divBdr>
                    <w:top w:val="none" w:sz="0" w:space="0" w:color="auto"/>
                    <w:left w:val="none" w:sz="0" w:space="0" w:color="auto"/>
                    <w:bottom w:val="none" w:sz="0" w:space="0" w:color="auto"/>
                    <w:right w:val="none" w:sz="0" w:space="0" w:color="auto"/>
                  </w:divBdr>
                </w:div>
                <w:div w:id="5795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88192">
      <w:bodyDiv w:val="1"/>
      <w:marLeft w:val="0"/>
      <w:marRight w:val="0"/>
      <w:marTop w:val="0"/>
      <w:marBottom w:val="0"/>
      <w:divBdr>
        <w:top w:val="none" w:sz="0" w:space="0" w:color="auto"/>
        <w:left w:val="none" w:sz="0" w:space="0" w:color="auto"/>
        <w:bottom w:val="none" w:sz="0" w:space="0" w:color="auto"/>
        <w:right w:val="none" w:sz="0" w:space="0" w:color="auto"/>
      </w:divBdr>
      <w:divsChild>
        <w:div w:id="68620185">
          <w:marLeft w:val="0"/>
          <w:marRight w:val="0"/>
          <w:marTop w:val="0"/>
          <w:marBottom w:val="0"/>
          <w:divBdr>
            <w:top w:val="none" w:sz="0" w:space="0" w:color="auto"/>
            <w:left w:val="none" w:sz="0" w:space="0" w:color="auto"/>
            <w:bottom w:val="none" w:sz="0" w:space="0" w:color="auto"/>
            <w:right w:val="none" w:sz="0" w:space="0" w:color="auto"/>
          </w:divBdr>
          <w:divsChild>
            <w:div w:id="1672029263">
              <w:marLeft w:val="0"/>
              <w:marRight w:val="0"/>
              <w:marTop w:val="0"/>
              <w:marBottom w:val="0"/>
              <w:divBdr>
                <w:top w:val="none" w:sz="0" w:space="0" w:color="auto"/>
                <w:left w:val="none" w:sz="0" w:space="0" w:color="auto"/>
                <w:bottom w:val="none" w:sz="0" w:space="0" w:color="auto"/>
                <w:right w:val="none" w:sz="0" w:space="0" w:color="auto"/>
              </w:divBdr>
              <w:divsChild>
                <w:div w:id="19979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1530">
      <w:bodyDiv w:val="1"/>
      <w:marLeft w:val="0"/>
      <w:marRight w:val="0"/>
      <w:marTop w:val="0"/>
      <w:marBottom w:val="0"/>
      <w:divBdr>
        <w:top w:val="none" w:sz="0" w:space="0" w:color="auto"/>
        <w:left w:val="none" w:sz="0" w:space="0" w:color="auto"/>
        <w:bottom w:val="none" w:sz="0" w:space="0" w:color="auto"/>
        <w:right w:val="none" w:sz="0" w:space="0" w:color="auto"/>
      </w:divBdr>
      <w:divsChild>
        <w:div w:id="355235871">
          <w:marLeft w:val="0"/>
          <w:marRight w:val="0"/>
          <w:marTop w:val="0"/>
          <w:marBottom w:val="0"/>
          <w:divBdr>
            <w:top w:val="none" w:sz="0" w:space="0" w:color="auto"/>
            <w:left w:val="none" w:sz="0" w:space="0" w:color="auto"/>
            <w:bottom w:val="none" w:sz="0" w:space="0" w:color="auto"/>
            <w:right w:val="none" w:sz="0" w:space="0" w:color="auto"/>
          </w:divBdr>
          <w:divsChild>
            <w:div w:id="706108413">
              <w:marLeft w:val="0"/>
              <w:marRight w:val="0"/>
              <w:marTop w:val="0"/>
              <w:marBottom w:val="0"/>
              <w:divBdr>
                <w:top w:val="none" w:sz="0" w:space="0" w:color="auto"/>
                <w:left w:val="none" w:sz="0" w:space="0" w:color="auto"/>
                <w:bottom w:val="none" w:sz="0" w:space="0" w:color="auto"/>
                <w:right w:val="none" w:sz="0" w:space="0" w:color="auto"/>
              </w:divBdr>
              <w:divsChild>
                <w:div w:id="1839225146">
                  <w:marLeft w:val="0"/>
                  <w:marRight w:val="0"/>
                  <w:marTop w:val="0"/>
                  <w:marBottom w:val="0"/>
                  <w:divBdr>
                    <w:top w:val="none" w:sz="0" w:space="0" w:color="auto"/>
                    <w:left w:val="none" w:sz="0" w:space="0" w:color="auto"/>
                    <w:bottom w:val="none" w:sz="0" w:space="0" w:color="auto"/>
                    <w:right w:val="none" w:sz="0" w:space="0" w:color="auto"/>
                  </w:divBdr>
                  <w:divsChild>
                    <w:div w:id="1698921637">
                      <w:marLeft w:val="0"/>
                      <w:marRight w:val="0"/>
                      <w:marTop w:val="0"/>
                      <w:marBottom w:val="0"/>
                      <w:divBdr>
                        <w:top w:val="none" w:sz="0" w:space="0" w:color="auto"/>
                        <w:left w:val="none" w:sz="0" w:space="0" w:color="auto"/>
                        <w:bottom w:val="none" w:sz="0" w:space="0" w:color="auto"/>
                        <w:right w:val="none" w:sz="0" w:space="0" w:color="auto"/>
                      </w:divBdr>
                      <w:divsChild>
                        <w:div w:id="21079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8025">
                  <w:marLeft w:val="0"/>
                  <w:marRight w:val="0"/>
                  <w:marTop w:val="0"/>
                  <w:marBottom w:val="0"/>
                  <w:divBdr>
                    <w:top w:val="none" w:sz="0" w:space="0" w:color="auto"/>
                    <w:left w:val="none" w:sz="0" w:space="0" w:color="auto"/>
                    <w:bottom w:val="none" w:sz="0" w:space="0" w:color="auto"/>
                    <w:right w:val="none" w:sz="0" w:space="0" w:color="auto"/>
                  </w:divBdr>
                  <w:divsChild>
                    <w:div w:id="1748258779">
                      <w:marLeft w:val="0"/>
                      <w:marRight w:val="0"/>
                      <w:marTop w:val="0"/>
                      <w:marBottom w:val="0"/>
                      <w:divBdr>
                        <w:top w:val="none" w:sz="0" w:space="0" w:color="auto"/>
                        <w:left w:val="none" w:sz="0" w:space="0" w:color="auto"/>
                        <w:bottom w:val="none" w:sz="0" w:space="0" w:color="auto"/>
                        <w:right w:val="none" w:sz="0" w:space="0" w:color="auto"/>
                      </w:divBdr>
                      <w:divsChild>
                        <w:div w:id="6728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7073">
              <w:marLeft w:val="0"/>
              <w:marRight w:val="0"/>
              <w:marTop w:val="0"/>
              <w:marBottom w:val="0"/>
              <w:divBdr>
                <w:top w:val="none" w:sz="0" w:space="0" w:color="auto"/>
                <w:left w:val="none" w:sz="0" w:space="0" w:color="auto"/>
                <w:bottom w:val="none" w:sz="0" w:space="0" w:color="auto"/>
                <w:right w:val="none" w:sz="0" w:space="0" w:color="auto"/>
              </w:divBdr>
              <w:divsChild>
                <w:div w:id="3510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0082">
      <w:bodyDiv w:val="1"/>
      <w:marLeft w:val="0"/>
      <w:marRight w:val="0"/>
      <w:marTop w:val="0"/>
      <w:marBottom w:val="0"/>
      <w:divBdr>
        <w:top w:val="none" w:sz="0" w:space="0" w:color="auto"/>
        <w:left w:val="none" w:sz="0" w:space="0" w:color="auto"/>
        <w:bottom w:val="none" w:sz="0" w:space="0" w:color="auto"/>
        <w:right w:val="none" w:sz="0" w:space="0" w:color="auto"/>
      </w:divBdr>
      <w:divsChild>
        <w:div w:id="1203326054">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sChild>
                <w:div w:id="5747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342">
      <w:bodyDiv w:val="1"/>
      <w:marLeft w:val="0"/>
      <w:marRight w:val="0"/>
      <w:marTop w:val="0"/>
      <w:marBottom w:val="0"/>
      <w:divBdr>
        <w:top w:val="none" w:sz="0" w:space="0" w:color="auto"/>
        <w:left w:val="none" w:sz="0" w:space="0" w:color="auto"/>
        <w:bottom w:val="none" w:sz="0" w:space="0" w:color="auto"/>
        <w:right w:val="none" w:sz="0" w:space="0" w:color="auto"/>
      </w:divBdr>
      <w:divsChild>
        <w:div w:id="1486581501">
          <w:marLeft w:val="0"/>
          <w:marRight w:val="0"/>
          <w:marTop w:val="0"/>
          <w:marBottom w:val="0"/>
          <w:divBdr>
            <w:top w:val="none" w:sz="0" w:space="0" w:color="auto"/>
            <w:left w:val="none" w:sz="0" w:space="0" w:color="auto"/>
            <w:bottom w:val="none" w:sz="0" w:space="0" w:color="auto"/>
            <w:right w:val="none" w:sz="0" w:space="0" w:color="auto"/>
          </w:divBdr>
          <w:divsChild>
            <w:div w:id="493304154">
              <w:marLeft w:val="0"/>
              <w:marRight w:val="0"/>
              <w:marTop w:val="0"/>
              <w:marBottom w:val="0"/>
              <w:divBdr>
                <w:top w:val="none" w:sz="0" w:space="0" w:color="auto"/>
                <w:left w:val="none" w:sz="0" w:space="0" w:color="auto"/>
                <w:bottom w:val="none" w:sz="0" w:space="0" w:color="auto"/>
                <w:right w:val="none" w:sz="0" w:space="0" w:color="auto"/>
              </w:divBdr>
              <w:divsChild>
                <w:div w:id="9858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entencingcouncil.tas.gov.au/__data/assets/pdf_file/0016/613411/Interim-accessible-version-for-web-site-Sentencing-for-Non-Fatal-Strangulation-paper.pdf" TargetMode="External"/><Relationship Id="rId2" Type="http://schemas.openxmlformats.org/officeDocument/2006/relationships/hyperlink" Target="https://www.aihw.gov.au/reports/homelessness-services/specialist-homelessness-services-annual-report/contents/summary" TargetMode="External"/><Relationship Id="rId1" Type="http://schemas.openxmlformats.org/officeDocument/2006/relationships/hyperlink" Target="https://www.abs.gov.au/statistics/people/crime-and-justice/recorded-crime-victims/2020" TargetMode="External"/><Relationship Id="rId4" Type="http://schemas.openxmlformats.org/officeDocument/2006/relationships/hyperlink" Target="https://www.districtcourts.govt.nz/assets/secure/2021-05-25/bf501081a3/2021-NZDC-7422_R-v-Camp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1380</Words>
  <Characters>7866</Characters>
  <Application>Microsoft Office Word</Application>
  <DocSecurity>0</DocSecurity>
  <Lines>65</Lines>
  <Paragraphs>18</Paragraphs>
  <ScaleCrop>false</ScaleCrop>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2022-02-21T06:23:00Z</dcterms:created>
  <dcterms:modified xsi:type="dcterms:W3CDTF">2022-02-21T06:23:00Z</dcterms:modified>
</cp:coreProperties>
</file>