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6532" w14:textId="77777777" w:rsidR="00E272F6" w:rsidRDefault="00E272F6" w:rsidP="0013659F">
      <w:pPr>
        <w:ind w:right="-205"/>
        <w:jc w:val="center"/>
      </w:pPr>
      <w:r w:rsidRPr="00B10735">
        <w:rPr>
          <w:noProof/>
          <w:sz w:val="20"/>
          <w:szCs w:val="20"/>
        </w:rPr>
        <w:drawing>
          <wp:inline distT="0" distB="0" distL="0" distR="0" wp14:anchorId="3330471E" wp14:editId="5E251F04">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04711E23" w14:textId="77777777" w:rsidR="00E272F6" w:rsidRDefault="00E272F6" w:rsidP="0013659F">
      <w:pPr>
        <w:ind w:right="-205"/>
      </w:pPr>
    </w:p>
    <w:p w14:paraId="029DD8A5" w14:textId="77777777" w:rsidR="00E272F6" w:rsidRPr="00FA08CC" w:rsidRDefault="00E272F6" w:rsidP="0013659F">
      <w:pPr>
        <w:ind w:right="-205"/>
      </w:pPr>
    </w:p>
    <w:p w14:paraId="7C8CE0B1" w14:textId="1763D7A1" w:rsidR="00E272F6" w:rsidRPr="006F57AD" w:rsidRDefault="00EF5AB7" w:rsidP="0013659F">
      <w:pPr>
        <w:ind w:right="-205"/>
        <w:rPr>
          <w:color w:val="000000" w:themeColor="text1"/>
        </w:rPr>
      </w:pPr>
      <w:r>
        <w:rPr>
          <w:color w:val="000000" w:themeColor="text1"/>
        </w:rPr>
        <w:t>23</w:t>
      </w:r>
      <w:r w:rsidR="006F57AD" w:rsidRPr="006F57AD">
        <w:rPr>
          <w:color w:val="000000" w:themeColor="text1"/>
        </w:rPr>
        <w:t xml:space="preserve"> May</w:t>
      </w:r>
      <w:r w:rsidR="00E272F6" w:rsidRPr="006F57AD">
        <w:rPr>
          <w:color w:val="000000" w:themeColor="text1"/>
        </w:rPr>
        <w:t xml:space="preserve"> 20</w:t>
      </w:r>
      <w:r w:rsidR="00670C2F" w:rsidRPr="006F57AD">
        <w:rPr>
          <w:color w:val="000000" w:themeColor="text1"/>
        </w:rPr>
        <w:t>24</w:t>
      </w:r>
    </w:p>
    <w:p w14:paraId="4394F3B1" w14:textId="77777777" w:rsidR="00E272F6" w:rsidRPr="00FA08CC" w:rsidRDefault="00E272F6" w:rsidP="0013659F">
      <w:pPr>
        <w:ind w:right="-205"/>
      </w:pPr>
    </w:p>
    <w:p w14:paraId="4455B4C7" w14:textId="77777777" w:rsidR="00E272F6" w:rsidRPr="00FA08CC" w:rsidRDefault="00E272F6" w:rsidP="0013659F">
      <w:pPr>
        <w:ind w:right="-205"/>
      </w:pPr>
      <w:r w:rsidRPr="00FA08CC">
        <w:t>Office of Strategic Legislation and Policy</w:t>
      </w:r>
    </w:p>
    <w:p w14:paraId="27050A37" w14:textId="77777777" w:rsidR="00E272F6" w:rsidRPr="00FA08CC" w:rsidRDefault="00E272F6" w:rsidP="0013659F">
      <w:pPr>
        <w:ind w:right="-205"/>
      </w:pPr>
      <w:r w:rsidRPr="00FA08CC">
        <w:t>Department of Justice</w:t>
      </w:r>
    </w:p>
    <w:p w14:paraId="0765A43E" w14:textId="77777777" w:rsidR="00E272F6" w:rsidRPr="00FA08CC" w:rsidRDefault="00E272F6" w:rsidP="0013659F">
      <w:pPr>
        <w:ind w:right="-205"/>
      </w:pPr>
      <w:r w:rsidRPr="00FA08CC">
        <w:t>GPO Box 825</w:t>
      </w:r>
    </w:p>
    <w:p w14:paraId="615AA434" w14:textId="77777777" w:rsidR="00E272F6" w:rsidRPr="00FA08CC" w:rsidRDefault="00E272F6" w:rsidP="0013659F">
      <w:pPr>
        <w:ind w:right="-205"/>
      </w:pPr>
      <w:r w:rsidRPr="00FA08CC">
        <w:t>Hobart TAS 7001</w:t>
      </w:r>
    </w:p>
    <w:p w14:paraId="3E91B24E" w14:textId="4B5E5E5A" w:rsidR="00E272F6" w:rsidRPr="00670C2F" w:rsidRDefault="00670C2F" w:rsidP="0013659F">
      <w:pPr>
        <w:ind w:right="-205"/>
        <w:rPr>
          <w:i/>
          <w:iCs/>
        </w:rPr>
      </w:pPr>
      <w:r>
        <w:tab/>
      </w:r>
      <w:r>
        <w:tab/>
      </w:r>
      <w:r>
        <w:tab/>
      </w:r>
      <w:r>
        <w:tab/>
      </w:r>
      <w:r w:rsidRPr="00670C2F">
        <w:rPr>
          <w:i/>
          <w:iCs/>
        </w:rPr>
        <w:t xml:space="preserve">via email: </w:t>
      </w:r>
      <w:hyperlink r:id="rId9" w:history="1">
        <w:r w:rsidRPr="00670C2F">
          <w:rPr>
            <w:rStyle w:val="Hyperlink"/>
            <w:i/>
            <w:iCs/>
          </w:rPr>
          <w:t>haveyoursay@justice.tas.gov.au</w:t>
        </w:r>
      </w:hyperlink>
      <w:r w:rsidRPr="00670C2F">
        <w:rPr>
          <w:i/>
          <w:iCs/>
        </w:rPr>
        <w:t xml:space="preserve"> </w:t>
      </w:r>
      <w:r w:rsidR="00E272F6" w:rsidRPr="00670C2F">
        <w:rPr>
          <w:i/>
          <w:iCs/>
        </w:rPr>
        <w:tab/>
      </w:r>
      <w:r w:rsidR="00E272F6" w:rsidRPr="00670C2F">
        <w:rPr>
          <w:i/>
          <w:iCs/>
        </w:rPr>
        <w:tab/>
      </w:r>
      <w:r w:rsidR="00E272F6" w:rsidRPr="00670C2F">
        <w:rPr>
          <w:i/>
          <w:iCs/>
        </w:rPr>
        <w:tab/>
      </w:r>
    </w:p>
    <w:p w14:paraId="767236DF" w14:textId="136FDBA9" w:rsidR="00E272F6" w:rsidRPr="00FA08CC" w:rsidRDefault="00670C2F" w:rsidP="0013659F">
      <w:pPr>
        <w:ind w:right="-205"/>
      </w:pPr>
      <w:r>
        <w:t>To the Department of Justice</w:t>
      </w:r>
      <w:r w:rsidR="00E272F6" w:rsidRPr="00FA08CC">
        <w:t>,</w:t>
      </w:r>
    </w:p>
    <w:p w14:paraId="16AFEF5E" w14:textId="13B5709E" w:rsidR="00E272F6" w:rsidRPr="00FA08CC" w:rsidRDefault="00E272F6" w:rsidP="0013659F">
      <w:pPr>
        <w:pBdr>
          <w:bottom w:val="single" w:sz="6" w:space="1" w:color="auto"/>
        </w:pBdr>
        <w:ind w:right="-205"/>
        <w:rPr>
          <w:b/>
        </w:rPr>
      </w:pPr>
      <w:r w:rsidRPr="00FA08CC">
        <w:rPr>
          <w:b/>
        </w:rPr>
        <w:t xml:space="preserve">Re: </w:t>
      </w:r>
      <w:r w:rsidR="0044515A" w:rsidRPr="00FA08CC">
        <w:rPr>
          <w:b/>
          <w:i/>
        </w:rPr>
        <w:t>Sentencing</w:t>
      </w:r>
      <w:r w:rsidRPr="00FA08CC">
        <w:rPr>
          <w:b/>
          <w:i/>
        </w:rPr>
        <w:t xml:space="preserve"> Amendment </w:t>
      </w:r>
      <w:r w:rsidR="0044515A" w:rsidRPr="00FA08CC">
        <w:rPr>
          <w:b/>
          <w:i/>
        </w:rPr>
        <w:t>(</w:t>
      </w:r>
      <w:r w:rsidR="00670C2F">
        <w:rPr>
          <w:b/>
          <w:i/>
        </w:rPr>
        <w:t xml:space="preserve">Presumptive Sentencing for </w:t>
      </w:r>
      <w:r w:rsidR="0044515A" w:rsidRPr="00FA08CC">
        <w:rPr>
          <w:b/>
          <w:i/>
        </w:rPr>
        <w:t xml:space="preserve">Assaults on Frontline Workers) </w:t>
      </w:r>
      <w:r w:rsidRPr="00FA08CC">
        <w:rPr>
          <w:b/>
          <w:i/>
        </w:rPr>
        <w:t>Bill 20</w:t>
      </w:r>
      <w:r w:rsidR="00670C2F">
        <w:rPr>
          <w:b/>
          <w:i/>
        </w:rPr>
        <w:t>24</w:t>
      </w:r>
    </w:p>
    <w:p w14:paraId="2DEF2E39" w14:textId="77777777" w:rsidR="0013659F" w:rsidRDefault="00E272F6" w:rsidP="0013659F">
      <w:pPr>
        <w:ind w:right="-205"/>
      </w:pPr>
      <w:r w:rsidRPr="00FA08CC">
        <w:t xml:space="preserve"> </w:t>
      </w:r>
    </w:p>
    <w:p w14:paraId="73036F84" w14:textId="666ADE98" w:rsidR="00E272F6" w:rsidRPr="00FA08CC" w:rsidRDefault="00E272F6" w:rsidP="0013659F">
      <w:pPr>
        <w:ind w:right="-205"/>
        <w:jc w:val="both"/>
      </w:pPr>
      <w:r w:rsidRPr="00FA08CC">
        <w:rPr>
          <w:rFonts w:cs="Calibri"/>
        </w:rPr>
        <w:t xml:space="preserve">Community Legal </w:t>
      </w:r>
      <w:proofErr w:type="spellStart"/>
      <w:r w:rsidRPr="00FA08CC">
        <w:rPr>
          <w:rFonts w:cs="Calibri"/>
        </w:rPr>
        <w:t>Centres</w:t>
      </w:r>
      <w:proofErr w:type="spellEnd"/>
      <w:r w:rsidRPr="00FA08CC">
        <w:rPr>
          <w:rFonts w:cs="Calibri"/>
        </w:rPr>
        <w:t xml:space="preserve"> Tasmania (CLC Tas)</w:t>
      </w:r>
      <w:r w:rsidRPr="00FA08CC">
        <w:t xml:space="preserve"> welcomes the opportunity to </w:t>
      </w:r>
      <w:r w:rsidRPr="00670C2F">
        <w:t xml:space="preserve">provide comment on the </w:t>
      </w:r>
      <w:r w:rsidR="00670C2F" w:rsidRPr="00670C2F">
        <w:rPr>
          <w:i/>
        </w:rPr>
        <w:t>Sentencing Amendment (Presumptive Sentencing for Assaults on Frontline Workers) Bill 2024</w:t>
      </w:r>
      <w:r w:rsidR="0086362E">
        <w:rPr>
          <w:i/>
        </w:rPr>
        <w:t xml:space="preserve"> </w:t>
      </w:r>
      <w:r w:rsidR="0086362E" w:rsidRPr="0086362E">
        <w:rPr>
          <w:iCs/>
        </w:rPr>
        <w:t>(‘the Bill’)</w:t>
      </w:r>
      <w:r w:rsidR="0044515A" w:rsidRPr="0086362E">
        <w:rPr>
          <w:iCs/>
        </w:rPr>
        <w:t>.</w:t>
      </w:r>
      <w:r w:rsidR="009C0B0A" w:rsidRPr="00C8369E">
        <w:rPr>
          <w:rStyle w:val="FootnoteReference"/>
          <w:rFonts w:ascii="Cambria" w:hAnsi="Cambria"/>
          <w:iCs/>
          <w:color w:val="000000" w:themeColor="text1"/>
        </w:rPr>
        <w:footnoteReference w:id="1"/>
      </w:r>
    </w:p>
    <w:p w14:paraId="65DA1FA6" w14:textId="77777777" w:rsidR="00E272F6" w:rsidRPr="00FA08CC" w:rsidRDefault="00E272F6" w:rsidP="0013659F">
      <w:pPr>
        <w:ind w:right="-205"/>
        <w:jc w:val="both"/>
      </w:pPr>
    </w:p>
    <w:p w14:paraId="44E37DB4" w14:textId="77777777" w:rsidR="00A07859" w:rsidRDefault="00E272F6" w:rsidP="00676116">
      <w:pPr>
        <w:ind w:right="-205"/>
        <w:jc w:val="both"/>
        <w:rPr>
          <w:rFonts w:cs="Arial"/>
          <w:color w:val="000000"/>
        </w:rPr>
      </w:pPr>
      <w:r w:rsidRPr="00FA08CC">
        <w:rPr>
          <w:rFonts w:eastAsia="Times New Roman" w:cs="Arial"/>
          <w:lang w:eastAsia="en-AU"/>
        </w:rPr>
        <w:t xml:space="preserve">CLC Tas </w:t>
      </w:r>
      <w:r w:rsidRPr="00FA08CC">
        <w:rPr>
          <w:rFonts w:cs="Arial"/>
        </w:rPr>
        <w:t>is the peak body representing the interests of</w:t>
      </w:r>
      <w:r w:rsidR="00670C2F">
        <w:rPr>
          <w:rFonts w:cs="Arial"/>
        </w:rPr>
        <w:t xml:space="preserve"> nine</w:t>
      </w:r>
      <w:r w:rsidRPr="00FA08CC">
        <w:rPr>
          <w:rFonts w:cs="Arial"/>
        </w:rPr>
        <w:t xml:space="preserve"> community legal </w:t>
      </w:r>
      <w:proofErr w:type="spellStart"/>
      <w:r w:rsidRPr="00FA08CC">
        <w:rPr>
          <w:rFonts w:cs="Arial"/>
        </w:rPr>
        <w:t>centres</w:t>
      </w:r>
      <w:proofErr w:type="spellEnd"/>
      <w:r w:rsidRPr="00FA08CC">
        <w:rPr>
          <w:rFonts w:cs="Arial"/>
        </w:rPr>
        <w:t xml:space="preserve"> (CLCs) located throughout Tasmania. We are a member-based, independent, not-for-profit and incorporated </w:t>
      </w:r>
      <w:proofErr w:type="spellStart"/>
      <w:r w:rsidRPr="00FA08CC">
        <w:rPr>
          <w:rFonts w:cs="Arial"/>
        </w:rPr>
        <w:t>organisation</w:t>
      </w:r>
      <w:proofErr w:type="spellEnd"/>
      <w:r w:rsidRPr="00FA08CC">
        <w:rPr>
          <w:rFonts w:cs="Arial"/>
        </w:rPr>
        <w:t xml:space="preserve"> that</w:t>
      </w:r>
      <w:r w:rsidRPr="00FA08CC">
        <w:rPr>
          <w:rFonts w:cs="Arial"/>
          <w:color w:val="000000"/>
        </w:rPr>
        <w:t xml:space="preserve"> advocates for law reform on a range of public interest matters aimed at improving access to justice, reducing discrimination and protecting and promoting human rights. </w:t>
      </w:r>
    </w:p>
    <w:p w14:paraId="2E18FCDE" w14:textId="77777777" w:rsidR="00A07859" w:rsidRDefault="00A07859" w:rsidP="00676116">
      <w:pPr>
        <w:ind w:right="-205"/>
        <w:jc w:val="both"/>
        <w:rPr>
          <w:rFonts w:cs="Arial"/>
          <w:color w:val="000000"/>
        </w:rPr>
      </w:pPr>
    </w:p>
    <w:p w14:paraId="407A754A" w14:textId="3ABD1ADC" w:rsidR="003B1259" w:rsidRDefault="002C0CF8" w:rsidP="00676116">
      <w:pPr>
        <w:ind w:right="-205"/>
        <w:jc w:val="both"/>
        <w:rPr>
          <w:rFonts w:cs="Arial"/>
          <w:color w:val="000000"/>
        </w:rPr>
      </w:pPr>
      <w:r>
        <w:rPr>
          <w:rFonts w:cs="Arial"/>
          <w:color w:val="000000"/>
        </w:rPr>
        <w:t>The Bill</w:t>
      </w:r>
      <w:r w:rsidR="00676116">
        <w:rPr>
          <w:rFonts w:cs="Arial"/>
          <w:color w:val="000000"/>
        </w:rPr>
        <w:t xml:space="preserve"> is </w:t>
      </w:r>
      <w:r>
        <w:rPr>
          <w:rFonts w:cs="Arial"/>
          <w:color w:val="000000"/>
        </w:rPr>
        <w:t xml:space="preserve">the </w:t>
      </w:r>
      <w:r w:rsidR="00676116">
        <w:rPr>
          <w:rFonts w:cs="Arial"/>
          <w:color w:val="000000"/>
        </w:rPr>
        <w:t>Government</w:t>
      </w:r>
      <w:r w:rsidR="003B1259">
        <w:rPr>
          <w:rFonts w:cs="Arial"/>
          <w:color w:val="000000"/>
        </w:rPr>
        <w:t>’s second attempt</w:t>
      </w:r>
      <w:r w:rsidR="00676116">
        <w:rPr>
          <w:rFonts w:cs="Arial"/>
          <w:color w:val="000000"/>
        </w:rPr>
        <w:t xml:space="preserve"> to </w:t>
      </w:r>
      <w:r w:rsidR="002351AE">
        <w:rPr>
          <w:rFonts w:cs="Arial"/>
          <w:color w:val="000000"/>
        </w:rPr>
        <w:t>impose</w:t>
      </w:r>
      <w:r w:rsidR="00676116">
        <w:rPr>
          <w:rFonts w:cs="Arial"/>
          <w:color w:val="000000"/>
        </w:rPr>
        <w:t xml:space="preserve"> </w:t>
      </w:r>
      <w:r>
        <w:rPr>
          <w:rFonts w:cs="Arial"/>
          <w:color w:val="000000"/>
        </w:rPr>
        <w:t xml:space="preserve">harsher sentences </w:t>
      </w:r>
      <w:r w:rsidR="002351AE">
        <w:rPr>
          <w:rFonts w:cs="Arial"/>
          <w:color w:val="000000"/>
        </w:rPr>
        <w:t>on</w:t>
      </w:r>
      <w:r>
        <w:rPr>
          <w:rFonts w:cs="Arial"/>
          <w:color w:val="000000"/>
        </w:rPr>
        <w:t xml:space="preserve"> persons convicted of assaults</w:t>
      </w:r>
      <w:r w:rsidR="002351AE">
        <w:rPr>
          <w:rFonts w:cs="Arial"/>
          <w:color w:val="000000"/>
        </w:rPr>
        <w:t xml:space="preserve"> </w:t>
      </w:r>
      <w:r>
        <w:rPr>
          <w:rFonts w:cs="Arial"/>
          <w:color w:val="000000"/>
        </w:rPr>
        <w:t>against frontline workers</w:t>
      </w:r>
      <w:r w:rsidR="00676116">
        <w:rPr>
          <w:rFonts w:cs="Arial"/>
          <w:color w:val="000000"/>
        </w:rPr>
        <w:t>.</w:t>
      </w:r>
      <w:r>
        <w:rPr>
          <w:rFonts w:cs="Arial"/>
          <w:color w:val="000000"/>
        </w:rPr>
        <w:t xml:space="preserve"> </w:t>
      </w:r>
      <w:r w:rsidR="00676116">
        <w:rPr>
          <w:rFonts w:cs="Arial"/>
          <w:color w:val="000000"/>
        </w:rPr>
        <w:t xml:space="preserve">In 2016, the Government introduced the </w:t>
      </w:r>
      <w:r w:rsidR="00676116" w:rsidRPr="0024668E">
        <w:rPr>
          <w:rFonts w:cs="Arial"/>
          <w:i/>
          <w:iCs/>
          <w:color w:val="000000"/>
        </w:rPr>
        <w:t>Sentencing Amendment (Assaults on Frontline Workers) Bill 2016</w:t>
      </w:r>
      <w:r w:rsidR="00676116">
        <w:rPr>
          <w:rFonts w:cs="Arial"/>
          <w:color w:val="000000"/>
        </w:rPr>
        <w:t xml:space="preserve"> </w:t>
      </w:r>
      <w:r w:rsidR="002351AE">
        <w:rPr>
          <w:rFonts w:cs="Arial"/>
          <w:color w:val="000000"/>
        </w:rPr>
        <w:t>which</w:t>
      </w:r>
      <w:r w:rsidR="00676116">
        <w:rPr>
          <w:rFonts w:cs="Arial"/>
          <w:color w:val="000000"/>
        </w:rPr>
        <w:t xml:space="preserve"> sought to impose a mandatory minimum sentence of six months </w:t>
      </w:r>
      <w:r w:rsidR="00676116" w:rsidRPr="00EF761B">
        <w:rPr>
          <w:rFonts w:cs="Arial"/>
          <w:color w:val="000000" w:themeColor="text1"/>
        </w:rPr>
        <w:t>imprisonment for assaults on frontline workers.</w:t>
      </w:r>
      <w:r w:rsidR="009F090F" w:rsidRPr="00EF761B">
        <w:rPr>
          <w:rFonts w:cs="Arial"/>
          <w:color w:val="000000" w:themeColor="text1"/>
        </w:rPr>
        <w:t xml:space="preserve"> The Bill was lost after </w:t>
      </w:r>
      <w:r w:rsidR="00EF761B" w:rsidRPr="00EF761B">
        <w:rPr>
          <w:rFonts w:cs="Arial"/>
          <w:color w:val="000000" w:themeColor="text1"/>
        </w:rPr>
        <w:t>the vote was tied in the House of Assembly and the</w:t>
      </w:r>
      <w:r w:rsidR="009F090F" w:rsidRPr="00EF761B">
        <w:rPr>
          <w:rFonts w:cs="Arial"/>
          <w:color w:val="000000" w:themeColor="text1"/>
        </w:rPr>
        <w:t xml:space="preserve"> </w:t>
      </w:r>
      <w:r w:rsidR="00EF761B" w:rsidRPr="00EF761B">
        <w:rPr>
          <w:rFonts w:cs="Arial"/>
          <w:color w:val="000000" w:themeColor="text1"/>
        </w:rPr>
        <w:t xml:space="preserve">then </w:t>
      </w:r>
      <w:r w:rsidR="009F090F" w:rsidRPr="00EF761B">
        <w:rPr>
          <w:rFonts w:cs="Arial"/>
          <w:color w:val="000000" w:themeColor="text1"/>
        </w:rPr>
        <w:t>speaker of the House of Assembly voted against the Bill.</w:t>
      </w:r>
      <w:r w:rsidR="00EF761B" w:rsidRPr="00EF761B">
        <w:rPr>
          <w:rStyle w:val="FootnoteReference"/>
          <w:rFonts w:cs="Arial"/>
          <w:color w:val="000000" w:themeColor="text1"/>
        </w:rPr>
        <w:footnoteReference w:id="2"/>
      </w:r>
      <w:r w:rsidR="009F090F" w:rsidRPr="00EF761B">
        <w:rPr>
          <w:rFonts w:cs="Arial"/>
          <w:color w:val="000000" w:themeColor="text1"/>
        </w:rPr>
        <w:t xml:space="preserve">  </w:t>
      </w:r>
      <w:r w:rsidR="002351AE" w:rsidRPr="00EF761B">
        <w:rPr>
          <w:rFonts w:cs="Arial"/>
          <w:color w:val="000000" w:themeColor="text1"/>
        </w:rPr>
        <w:t xml:space="preserve"> </w:t>
      </w:r>
      <w:r w:rsidR="00676116" w:rsidRPr="00EF761B">
        <w:rPr>
          <w:rFonts w:cs="Arial"/>
          <w:color w:val="000000" w:themeColor="text1"/>
        </w:rPr>
        <w:t xml:space="preserve"> </w:t>
      </w:r>
    </w:p>
    <w:p w14:paraId="54BF4F58" w14:textId="77777777" w:rsidR="003B1259" w:rsidRDefault="003B1259" w:rsidP="00676116">
      <w:pPr>
        <w:ind w:right="-205"/>
        <w:jc w:val="both"/>
        <w:rPr>
          <w:rFonts w:cs="Arial"/>
          <w:color w:val="000000"/>
        </w:rPr>
      </w:pPr>
    </w:p>
    <w:p w14:paraId="632BC602" w14:textId="1D68BDBA" w:rsidR="008B5804" w:rsidRDefault="003B1259" w:rsidP="00676116">
      <w:pPr>
        <w:ind w:right="-205"/>
        <w:jc w:val="both"/>
        <w:rPr>
          <w:rFonts w:cs="Arial"/>
          <w:color w:val="000000"/>
        </w:rPr>
      </w:pPr>
      <w:r>
        <w:rPr>
          <w:rFonts w:cs="Arial"/>
          <w:color w:val="000000"/>
        </w:rPr>
        <w:t xml:space="preserve">The Bill makes a number of amendments to the earlier iteration. First, ‘frontline workers’ is defined more broadly </w:t>
      </w:r>
      <w:r w:rsidR="000C4D58">
        <w:rPr>
          <w:rFonts w:cs="Arial"/>
          <w:color w:val="000000"/>
        </w:rPr>
        <w:t>to include persons working for the Tasmanian Fire Service, retail or hospitality workers and transport workers. Second, the Bill no longer seeks to impose a mandatory sentence but instead</w:t>
      </w:r>
      <w:r w:rsidR="00A07859">
        <w:rPr>
          <w:rFonts w:cs="Arial"/>
          <w:color w:val="000000"/>
        </w:rPr>
        <w:t xml:space="preserve"> </w:t>
      </w:r>
      <w:r w:rsidR="000C4D58">
        <w:rPr>
          <w:rFonts w:cs="Arial"/>
          <w:color w:val="000000"/>
        </w:rPr>
        <w:t>a presumptive minimum</w:t>
      </w:r>
      <w:r w:rsidR="003003F4">
        <w:rPr>
          <w:rFonts w:cs="Arial"/>
          <w:color w:val="000000"/>
        </w:rPr>
        <w:t xml:space="preserve"> sentence</w:t>
      </w:r>
      <w:r w:rsidR="000C4D58">
        <w:rPr>
          <w:rFonts w:cs="Arial"/>
          <w:color w:val="000000"/>
        </w:rPr>
        <w:t xml:space="preserve">. </w:t>
      </w:r>
      <w:r w:rsidR="00F96D2D">
        <w:rPr>
          <w:rFonts w:cs="Arial"/>
          <w:color w:val="000000"/>
        </w:rPr>
        <w:t>The effect of this change is that rather than a</w:t>
      </w:r>
      <w:r w:rsidR="000C4D58">
        <w:rPr>
          <w:rFonts w:cs="Arial"/>
          <w:color w:val="000000"/>
        </w:rPr>
        <w:t xml:space="preserve"> </w:t>
      </w:r>
      <w:r w:rsidR="002F7C80">
        <w:rPr>
          <w:rFonts w:cs="Arial"/>
          <w:color w:val="000000"/>
        </w:rPr>
        <w:t>court</w:t>
      </w:r>
      <w:r w:rsidR="000C4D58">
        <w:rPr>
          <w:rFonts w:cs="Arial"/>
          <w:color w:val="000000"/>
        </w:rPr>
        <w:t xml:space="preserve"> having to impose a mandatory sentence</w:t>
      </w:r>
      <w:r w:rsidR="00F96D2D">
        <w:rPr>
          <w:rFonts w:cs="Arial"/>
          <w:color w:val="000000"/>
        </w:rPr>
        <w:t>,</w:t>
      </w:r>
      <w:r w:rsidR="000C4D58">
        <w:rPr>
          <w:rFonts w:cs="Arial"/>
          <w:color w:val="000000"/>
        </w:rPr>
        <w:t xml:space="preserve"> the</w:t>
      </w:r>
      <w:r w:rsidR="00F96D2D">
        <w:rPr>
          <w:rFonts w:cs="Arial"/>
          <w:color w:val="000000"/>
        </w:rPr>
        <w:t xml:space="preserve"> court</w:t>
      </w:r>
      <w:r w:rsidR="000C4D58">
        <w:rPr>
          <w:rFonts w:cs="Arial"/>
          <w:color w:val="000000"/>
        </w:rPr>
        <w:t xml:space="preserve"> m</w:t>
      </w:r>
      <w:r w:rsidR="00F96D2D">
        <w:rPr>
          <w:rFonts w:cs="Arial"/>
          <w:color w:val="000000"/>
        </w:rPr>
        <w:t>ay instead impose a sentence less than the prescribed minimum sentence if particular circumstances are met.</w:t>
      </w:r>
      <w:r w:rsidR="00F96D2D">
        <w:rPr>
          <w:rStyle w:val="FootnoteReference"/>
          <w:rFonts w:cs="Arial"/>
          <w:color w:val="000000"/>
        </w:rPr>
        <w:footnoteReference w:id="3"/>
      </w:r>
      <w:r w:rsidR="00F96D2D">
        <w:rPr>
          <w:rFonts w:cs="Arial"/>
          <w:color w:val="000000"/>
        </w:rPr>
        <w:t xml:space="preserve"> Finally, the Bill </w:t>
      </w:r>
      <w:r w:rsidR="00B43057">
        <w:rPr>
          <w:rFonts w:cs="Arial"/>
          <w:color w:val="000000"/>
        </w:rPr>
        <w:lastRenderedPageBreak/>
        <w:t>sets out</w:t>
      </w:r>
      <w:r w:rsidR="00741D99">
        <w:rPr>
          <w:rFonts w:cs="Arial"/>
          <w:color w:val="000000"/>
        </w:rPr>
        <w:t xml:space="preserve"> a range of circumstances </w:t>
      </w:r>
      <w:r w:rsidR="00F96D2D">
        <w:rPr>
          <w:rFonts w:cs="Arial"/>
          <w:color w:val="000000"/>
        </w:rPr>
        <w:t>that</w:t>
      </w:r>
      <w:r w:rsidR="00741D99">
        <w:rPr>
          <w:rFonts w:cs="Arial"/>
          <w:color w:val="000000"/>
        </w:rPr>
        <w:t xml:space="preserve"> will not see the imposition of the prescribed minimum sentence namely that</w:t>
      </w:r>
      <w:r w:rsidR="00F96D2D">
        <w:rPr>
          <w:rFonts w:cs="Arial"/>
          <w:color w:val="000000"/>
        </w:rPr>
        <w:t xml:space="preserve"> </w:t>
      </w:r>
      <w:r w:rsidR="00741D99">
        <w:rPr>
          <w:rFonts w:cs="Arial"/>
          <w:color w:val="000000"/>
        </w:rPr>
        <w:t>an offender</w:t>
      </w:r>
      <w:r w:rsidR="00B47705">
        <w:rPr>
          <w:rFonts w:cs="Arial"/>
          <w:color w:val="000000"/>
        </w:rPr>
        <w:t xml:space="preserve"> </w:t>
      </w:r>
      <w:r w:rsidR="00741D99">
        <w:rPr>
          <w:rFonts w:cs="Arial"/>
          <w:color w:val="000000"/>
        </w:rPr>
        <w:t xml:space="preserve">had impaired mental functioning or that </w:t>
      </w:r>
      <w:r w:rsidR="00B47705">
        <w:rPr>
          <w:rFonts w:cs="Arial"/>
          <w:color w:val="000000"/>
        </w:rPr>
        <w:t>the imposition of the sentence</w:t>
      </w:r>
      <w:r w:rsidR="00741D99">
        <w:rPr>
          <w:rFonts w:cs="Arial"/>
          <w:color w:val="000000"/>
        </w:rPr>
        <w:t xml:space="preserve"> would be unjust.</w:t>
      </w:r>
    </w:p>
    <w:p w14:paraId="1222D610" w14:textId="77777777" w:rsidR="00047677" w:rsidRDefault="00047677" w:rsidP="00EA17B1">
      <w:pPr>
        <w:ind w:right="-205"/>
        <w:jc w:val="both"/>
        <w:outlineLvl w:val="0"/>
        <w:rPr>
          <w:b/>
          <w:color w:val="000000" w:themeColor="text1"/>
        </w:rPr>
      </w:pPr>
    </w:p>
    <w:p w14:paraId="6035FA27" w14:textId="77777777" w:rsidR="00000B1D" w:rsidRDefault="00000B1D" w:rsidP="00EA17B1">
      <w:pPr>
        <w:ind w:right="-205"/>
        <w:jc w:val="both"/>
        <w:outlineLvl w:val="0"/>
        <w:rPr>
          <w:b/>
          <w:color w:val="000000" w:themeColor="text1"/>
        </w:rPr>
      </w:pPr>
      <w:r>
        <w:rPr>
          <w:b/>
          <w:color w:val="000000" w:themeColor="text1"/>
        </w:rPr>
        <w:t xml:space="preserve">THE LAW </w:t>
      </w:r>
    </w:p>
    <w:p w14:paraId="0BCCA1DB" w14:textId="5E9D75BE" w:rsidR="00EA17B1" w:rsidRPr="00000B1D" w:rsidRDefault="00EA17B1" w:rsidP="00000B1D">
      <w:pPr>
        <w:pStyle w:val="ListParagraph"/>
        <w:numPr>
          <w:ilvl w:val="0"/>
          <w:numId w:val="13"/>
        </w:numPr>
        <w:ind w:right="-205"/>
        <w:jc w:val="both"/>
        <w:outlineLvl w:val="0"/>
        <w:rPr>
          <w:b/>
          <w:i/>
          <w:iCs/>
          <w:color w:val="000000" w:themeColor="text1"/>
        </w:rPr>
      </w:pPr>
      <w:r w:rsidRPr="00000B1D">
        <w:rPr>
          <w:b/>
          <w:i/>
          <w:iCs/>
          <w:color w:val="000000" w:themeColor="text1"/>
        </w:rPr>
        <w:t>Current Legislative Framework</w:t>
      </w:r>
    </w:p>
    <w:p w14:paraId="27B1131D" w14:textId="77777777" w:rsidR="000E56C0" w:rsidRDefault="00013B0C" w:rsidP="00582E4C">
      <w:pPr>
        <w:ind w:right="-205"/>
        <w:jc w:val="both"/>
        <w:outlineLvl w:val="0"/>
        <w:rPr>
          <w:color w:val="000000" w:themeColor="text1"/>
        </w:rPr>
      </w:pPr>
      <w:r>
        <w:rPr>
          <w:color w:val="000000" w:themeColor="text1"/>
        </w:rPr>
        <w:t>An a</w:t>
      </w:r>
      <w:r w:rsidR="00D54629">
        <w:rPr>
          <w:color w:val="000000" w:themeColor="text1"/>
        </w:rPr>
        <w:t xml:space="preserve">ssault against </w:t>
      </w:r>
      <w:r>
        <w:rPr>
          <w:color w:val="000000" w:themeColor="text1"/>
        </w:rPr>
        <w:t xml:space="preserve">a </w:t>
      </w:r>
      <w:r w:rsidR="00D54629">
        <w:rPr>
          <w:color w:val="000000" w:themeColor="text1"/>
        </w:rPr>
        <w:t xml:space="preserve">police officer </w:t>
      </w:r>
      <w:r w:rsidR="00D54629" w:rsidRPr="00463F47">
        <w:rPr>
          <w:color w:val="000000" w:themeColor="text1"/>
        </w:rPr>
        <w:t xml:space="preserve">or </w:t>
      </w:r>
      <w:r w:rsidRPr="00463F47">
        <w:rPr>
          <w:color w:val="000000" w:themeColor="text1"/>
        </w:rPr>
        <w:t xml:space="preserve">an </w:t>
      </w:r>
      <w:r w:rsidR="00D54629" w:rsidRPr="00463F47">
        <w:rPr>
          <w:color w:val="000000" w:themeColor="text1"/>
        </w:rPr>
        <w:t>emergency service worker</w:t>
      </w:r>
      <w:r w:rsidR="00D54629">
        <w:rPr>
          <w:color w:val="000000" w:themeColor="text1"/>
        </w:rPr>
        <w:t xml:space="preserve"> is already a crime</w:t>
      </w:r>
      <w:r>
        <w:rPr>
          <w:color w:val="000000" w:themeColor="text1"/>
        </w:rPr>
        <w:t xml:space="preserve"> </w:t>
      </w:r>
      <w:r w:rsidR="00D54629">
        <w:rPr>
          <w:color w:val="000000" w:themeColor="text1"/>
        </w:rPr>
        <w:t xml:space="preserve">pursuant to section 34B of the </w:t>
      </w:r>
      <w:r w:rsidR="00D54629" w:rsidRPr="00D54629">
        <w:rPr>
          <w:i/>
          <w:iCs/>
          <w:color w:val="000000" w:themeColor="text1"/>
        </w:rPr>
        <w:t>Police Offences Act 1935</w:t>
      </w:r>
      <w:r w:rsidR="00D54629">
        <w:rPr>
          <w:color w:val="000000" w:themeColor="text1"/>
        </w:rPr>
        <w:t xml:space="preserve"> (Tas). An assault against a police officer is punishable with a term of imprisonment not exceeding three years whilst an assault against an emergency service worker is punishable with imprisonment not exceeding two years. </w:t>
      </w:r>
      <w:r w:rsidR="00D54629" w:rsidRPr="00013B0C">
        <w:rPr>
          <w:color w:val="000000" w:themeColor="text1"/>
        </w:rPr>
        <w:t>More serious assaults against police officers</w:t>
      </w:r>
      <w:r w:rsidRPr="00013B0C">
        <w:rPr>
          <w:color w:val="000000" w:themeColor="text1"/>
        </w:rPr>
        <w:t xml:space="preserve"> are also able to be prosecuted pursuant to the </w:t>
      </w:r>
      <w:r w:rsidRPr="00013B0C">
        <w:rPr>
          <w:i/>
          <w:color w:val="000000" w:themeColor="text1"/>
        </w:rPr>
        <w:t>Criminal Code Act</w:t>
      </w:r>
      <w:r w:rsidRPr="00013B0C">
        <w:rPr>
          <w:color w:val="000000" w:themeColor="text1"/>
        </w:rPr>
        <w:t xml:space="preserve"> </w:t>
      </w:r>
      <w:r w:rsidRPr="00013B0C">
        <w:rPr>
          <w:i/>
          <w:color w:val="000000" w:themeColor="text1"/>
        </w:rPr>
        <w:t xml:space="preserve">1924 </w:t>
      </w:r>
      <w:r w:rsidRPr="00013B0C">
        <w:rPr>
          <w:color w:val="000000" w:themeColor="text1"/>
        </w:rPr>
        <w:t>(Tas).</w:t>
      </w:r>
      <w:r>
        <w:rPr>
          <w:rStyle w:val="FootnoteReference"/>
          <w:color w:val="000000" w:themeColor="text1"/>
        </w:rPr>
        <w:footnoteReference w:id="4"/>
      </w:r>
      <w:r>
        <w:rPr>
          <w:color w:val="000000" w:themeColor="text1"/>
        </w:rPr>
        <w:t xml:space="preserve"> </w:t>
      </w:r>
    </w:p>
    <w:p w14:paraId="0FB5AAF9" w14:textId="77777777" w:rsidR="000E56C0" w:rsidRDefault="000E56C0" w:rsidP="00582E4C">
      <w:pPr>
        <w:ind w:right="-205"/>
        <w:jc w:val="both"/>
        <w:outlineLvl w:val="0"/>
        <w:rPr>
          <w:color w:val="000000" w:themeColor="text1"/>
        </w:rPr>
      </w:pPr>
    </w:p>
    <w:p w14:paraId="66060F1A" w14:textId="4CBB5FC9" w:rsidR="00C54865" w:rsidRDefault="00EA17B1" w:rsidP="00582E4C">
      <w:pPr>
        <w:ind w:right="-205"/>
        <w:jc w:val="both"/>
        <w:outlineLvl w:val="0"/>
        <w:rPr>
          <w:color w:val="000000" w:themeColor="text1"/>
        </w:rPr>
      </w:pPr>
      <w:r w:rsidRPr="00CA79A9">
        <w:rPr>
          <w:color w:val="000000" w:themeColor="text1"/>
        </w:rPr>
        <w:t xml:space="preserve">In 2014, the passing of </w:t>
      </w:r>
      <w:r w:rsidR="00EF761B" w:rsidRPr="00CA79A9">
        <w:rPr>
          <w:color w:val="000000" w:themeColor="text1"/>
        </w:rPr>
        <w:t xml:space="preserve">section 16A of the </w:t>
      </w:r>
      <w:r w:rsidR="00EF761B" w:rsidRPr="00CA79A9">
        <w:rPr>
          <w:i/>
          <w:iCs/>
          <w:color w:val="000000" w:themeColor="text1"/>
        </w:rPr>
        <w:t>Sentencing Act 1997</w:t>
      </w:r>
      <w:r w:rsidR="00EF761B" w:rsidRPr="00CA79A9">
        <w:rPr>
          <w:color w:val="000000" w:themeColor="text1"/>
        </w:rPr>
        <w:t xml:space="preserve"> (Tas) </w:t>
      </w:r>
      <w:r w:rsidRPr="00CA79A9">
        <w:rPr>
          <w:color w:val="000000" w:themeColor="text1"/>
        </w:rPr>
        <w:t>mean</w:t>
      </w:r>
      <w:r w:rsidR="000E56C0" w:rsidRPr="00CA79A9">
        <w:rPr>
          <w:color w:val="000000" w:themeColor="text1"/>
        </w:rPr>
        <w:t>t</w:t>
      </w:r>
      <w:r w:rsidRPr="00CA79A9">
        <w:rPr>
          <w:color w:val="000000" w:themeColor="text1"/>
        </w:rPr>
        <w:t xml:space="preserve"> that minimum mandatory sentences of six months are</w:t>
      </w:r>
      <w:r w:rsidR="00EF761B" w:rsidRPr="00CA79A9">
        <w:rPr>
          <w:color w:val="000000" w:themeColor="text1"/>
        </w:rPr>
        <w:t xml:space="preserve"> </w:t>
      </w:r>
      <w:r w:rsidRPr="00CA79A9">
        <w:rPr>
          <w:color w:val="000000" w:themeColor="text1"/>
        </w:rPr>
        <w:t xml:space="preserve">imposed where </w:t>
      </w:r>
      <w:r w:rsidR="00EF761B" w:rsidRPr="00CA79A9">
        <w:rPr>
          <w:color w:val="000000" w:themeColor="text1"/>
        </w:rPr>
        <w:t xml:space="preserve">an offender is convicted of </w:t>
      </w:r>
      <w:r w:rsidRPr="00CA79A9">
        <w:rPr>
          <w:color w:val="000000" w:themeColor="text1"/>
        </w:rPr>
        <w:t xml:space="preserve">an assault </w:t>
      </w:r>
      <w:r w:rsidR="00EF761B" w:rsidRPr="00CA79A9">
        <w:rPr>
          <w:color w:val="000000" w:themeColor="text1"/>
        </w:rPr>
        <w:t xml:space="preserve">which </w:t>
      </w:r>
      <w:r w:rsidRPr="00CA79A9">
        <w:rPr>
          <w:color w:val="000000" w:themeColor="text1"/>
        </w:rPr>
        <w:t>causes ‘serious bodily harm’ to a police officer</w:t>
      </w:r>
      <w:r w:rsidR="00EF761B" w:rsidRPr="00CA79A9">
        <w:rPr>
          <w:color w:val="000000" w:themeColor="text1"/>
        </w:rPr>
        <w:t xml:space="preserve"> on duty unless there are exceptional circumstances.</w:t>
      </w:r>
      <w:r w:rsidRPr="00CA79A9">
        <w:rPr>
          <w:rStyle w:val="FootnoteReference"/>
          <w:color w:val="000000" w:themeColor="text1"/>
        </w:rPr>
        <w:footnoteReference w:id="5"/>
      </w:r>
      <w:r w:rsidR="00EF761B" w:rsidRPr="00CA79A9">
        <w:rPr>
          <w:color w:val="000000" w:themeColor="text1"/>
        </w:rPr>
        <w:t xml:space="preserve"> </w:t>
      </w:r>
      <w:r w:rsidR="006B7465">
        <w:rPr>
          <w:color w:val="000000" w:themeColor="text1"/>
        </w:rPr>
        <w:t>M</w:t>
      </w:r>
      <w:r w:rsidR="00F7197D">
        <w:rPr>
          <w:color w:val="000000" w:themeColor="text1"/>
        </w:rPr>
        <w:t>inimum mandatory sentence</w:t>
      </w:r>
      <w:r w:rsidR="006B7465">
        <w:rPr>
          <w:color w:val="000000" w:themeColor="text1"/>
        </w:rPr>
        <w:t>s</w:t>
      </w:r>
      <w:r w:rsidR="00F7197D">
        <w:rPr>
          <w:color w:val="000000" w:themeColor="text1"/>
        </w:rPr>
        <w:t xml:space="preserve"> w</w:t>
      </w:r>
      <w:r w:rsidR="006B7465">
        <w:rPr>
          <w:color w:val="000000" w:themeColor="text1"/>
        </w:rPr>
        <w:t>ere</w:t>
      </w:r>
      <w:r w:rsidR="00F7197D">
        <w:rPr>
          <w:color w:val="000000" w:themeColor="text1"/>
        </w:rPr>
        <w:t xml:space="preserve"> strongly supported by </w:t>
      </w:r>
      <w:r w:rsidR="00C54865">
        <w:rPr>
          <w:color w:val="000000" w:themeColor="text1"/>
        </w:rPr>
        <w:t>the Police Association of Tasmania</w:t>
      </w:r>
      <w:r w:rsidR="00F7197D">
        <w:rPr>
          <w:color w:val="000000" w:themeColor="text1"/>
        </w:rPr>
        <w:t xml:space="preserve"> </w:t>
      </w:r>
      <w:r w:rsidR="00C54865">
        <w:rPr>
          <w:color w:val="000000" w:themeColor="text1"/>
        </w:rPr>
        <w:t>on the basis tha</w:t>
      </w:r>
      <w:r w:rsidR="000E56C0">
        <w:rPr>
          <w:color w:val="000000" w:themeColor="text1"/>
        </w:rPr>
        <w:t xml:space="preserve">t </w:t>
      </w:r>
      <w:r w:rsidR="002A30D5">
        <w:rPr>
          <w:color w:val="000000" w:themeColor="text1"/>
        </w:rPr>
        <w:t>they</w:t>
      </w:r>
      <w:r w:rsidR="000E56C0">
        <w:rPr>
          <w:color w:val="000000" w:themeColor="text1"/>
        </w:rPr>
        <w:t xml:space="preserve"> </w:t>
      </w:r>
      <w:r w:rsidR="000E56C0">
        <w:t>would “send a strong message that such violent assaults are unacceptable” and “from the evidence we have seen in other states, we anticipate that this measure will reduce the rates of assaults on Police in Tasmania”.</w:t>
      </w:r>
      <w:r w:rsidR="000E56C0">
        <w:rPr>
          <w:rStyle w:val="FootnoteReference"/>
        </w:rPr>
        <w:footnoteReference w:id="6"/>
      </w:r>
      <w:r w:rsidR="00C54865">
        <w:rPr>
          <w:color w:val="000000" w:themeColor="text1"/>
        </w:rPr>
        <w:t xml:space="preserve"> </w:t>
      </w:r>
    </w:p>
    <w:p w14:paraId="76CB9CA0" w14:textId="77777777" w:rsidR="00EF761B" w:rsidRDefault="00EF761B" w:rsidP="00EF761B">
      <w:pPr>
        <w:ind w:right="-205"/>
        <w:jc w:val="both"/>
        <w:outlineLvl w:val="0"/>
        <w:rPr>
          <w:color w:val="000000" w:themeColor="text1"/>
        </w:rPr>
      </w:pPr>
    </w:p>
    <w:p w14:paraId="45E5CC53" w14:textId="78E24DF4" w:rsidR="00EF761B" w:rsidRPr="00EF761B" w:rsidRDefault="00EF761B" w:rsidP="00EF761B">
      <w:pPr>
        <w:ind w:right="-205"/>
        <w:jc w:val="both"/>
        <w:outlineLvl w:val="0"/>
        <w:rPr>
          <w:rFonts w:ascii="Cambria" w:hAnsi="Cambria"/>
          <w:color w:val="000000" w:themeColor="text1"/>
        </w:rPr>
      </w:pPr>
      <w:r w:rsidRPr="00EF761B">
        <w:rPr>
          <w:rFonts w:ascii="Cambria" w:hAnsi="Cambria"/>
          <w:color w:val="000000" w:themeColor="text1"/>
        </w:rPr>
        <w:t xml:space="preserve">Tasmanian police data represented in the graph below does not substantiate the claim that the introduction of a minimum mandatory sentence had the purported effect of reducing the number of assaults on police officers. </w:t>
      </w:r>
      <w:r w:rsidRPr="00EF761B">
        <w:rPr>
          <w:rFonts w:ascii="Cambria" w:hAnsi="Cambria"/>
          <w:color w:val="000000"/>
        </w:rPr>
        <w:t>Over the last decade, the number of police officers in Tasmania has increased by 15 per cent</w:t>
      </w:r>
      <w:r w:rsidRPr="00EF761B">
        <w:rPr>
          <w:rStyle w:val="FootnoteReference"/>
          <w:rFonts w:ascii="Cambria" w:hAnsi="Cambria"/>
          <w:color w:val="000000" w:themeColor="text1"/>
        </w:rPr>
        <w:footnoteReference w:id="7"/>
      </w:r>
      <w:r w:rsidRPr="00EF761B">
        <w:rPr>
          <w:rFonts w:ascii="Cambria" w:hAnsi="Cambria"/>
          <w:color w:val="000000"/>
        </w:rPr>
        <w:t xml:space="preserve"> whilst the number of assaults against police officers has increased by 27 per cent</w:t>
      </w:r>
      <w:r>
        <w:rPr>
          <w:rFonts w:ascii="Cambria" w:hAnsi="Cambria"/>
          <w:color w:val="000000"/>
        </w:rPr>
        <w:t xml:space="preserve">. </w:t>
      </w:r>
      <w:r w:rsidRPr="00EF761B">
        <w:rPr>
          <w:rFonts w:ascii="Cambria" w:hAnsi="Cambria"/>
          <w:color w:val="000000" w:themeColor="text1"/>
        </w:rPr>
        <w:t>Since 2020, the data shows that the number of serious assaults against police officers has reduced, which may be explained by the introduction of body worn cameras in July 2020</w:t>
      </w:r>
      <w:r>
        <w:rPr>
          <w:rFonts w:ascii="Cambria" w:hAnsi="Cambria"/>
          <w:color w:val="000000" w:themeColor="text1"/>
        </w:rPr>
        <w:t>.</w:t>
      </w:r>
      <w:r w:rsidRPr="00EF761B">
        <w:rPr>
          <w:rStyle w:val="FootnoteReference"/>
          <w:rFonts w:ascii="Cambria" w:hAnsi="Cambria"/>
          <w:color w:val="000000" w:themeColor="text1"/>
        </w:rPr>
        <w:footnoteReference w:id="8"/>
      </w:r>
      <w:r>
        <w:rPr>
          <w:rFonts w:ascii="Cambria" w:hAnsi="Cambria"/>
          <w:color w:val="000000" w:themeColor="text1"/>
        </w:rPr>
        <w:t xml:space="preserve"> </w:t>
      </w:r>
      <w:r w:rsidRPr="00EF761B">
        <w:rPr>
          <w:rFonts w:ascii="Cambria" w:hAnsi="Cambria"/>
          <w:color w:val="000000" w:themeColor="text1"/>
        </w:rPr>
        <w:t>When introducing the reform, the then Minister for Police, Fire and Emergency Management acknowledged that “body worn cameras provide significant operational benefits, including positively influencing the behaviors of people interacting with police and reducing the number of assaults against police”.</w:t>
      </w:r>
      <w:r w:rsidRPr="00EF761B">
        <w:rPr>
          <w:rStyle w:val="FootnoteReference"/>
          <w:rFonts w:ascii="Cambria" w:hAnsi="Cambria"/>
          <w:color w:val="000000" w:themeColor="text1"/>
        </w:rPr>
        <w:footnoteReference w:id="9"/>
      </w:r>
      <w:r w:rsidRPr="00EF761B">
        <w:rPr>
          <w:rFonts w:ascii="Cambria" w:hAnsi="Cambria"/>
          <w:color w:val="000000" w:themeColor="text1"/>
        </w:rPr>
        <w:t xml:space="preserve"> </w:t>
      </w:r>
    </w:p>
    <w:p w14:paraId="664D3B61" w14:textId="77777777" w:rsidR="00EF761B" w:rsidRDefault="00EF761B" w:rsidP="00EF761B">
      <w:pPr>
        <w:ind w:right="-205"/>
        <w:jc w:val="both"/>
        <w:outlineLvl w:val="0"/>
        <w:rPr>
          <w:color w:val="FF0000"/>
        </w:rPr>
      </w:pPr>
    </w:p>
    <w:p w14:paraId="160FFDB0" w14:textId="785431CE" w:rsidR="00EF761B" w:rsidRPr="00CA79A9" w:rsidRDefault="00EF761B" w:rsidP="00EF761B">
      <w:pPr>
        <w:ind w:right="-205"/>
        <w:jc w:val="both"/>
        <w:outlineLvl w:val="0"/>
        <w:rPr>
          <w:color w:val="000000" w:themeColor="text1"/>
        </w:rPr>
      </w:pPr>
      <w:r w:rsidRPr="00CA79A9">
        <w:rPr>
          <w:color w:val="000000" w:themeColor="text1"/>
        </w:rPr>
        <w:t xml:space="preserve">It is clear from the data, that the introduction of section 16A of the </w:t>
      </w:r>
      <w:r w:rsidRPr="00CA79A9">
        <w:rPr>
          <w:i/>
          <w:iCs/>
          <w:color w:val="000000" w:themeColor="text1"/>
        </w:rPr>
        <w:t>Sentencing Act 1997</w:t>
      </w:r>
      <w:r w:rsidRPr="00CA79A9">
        <w:rPr>
          <w:color w:val="000000" w:themeColor="text1"/>
        </w:rPr>
        <w:t xml:space="preserve"> (Tas) has had no significant deterrent effect on police officer assaults in Tasmania. This finding is consistent with academic research carried out of minimum </w:t>
      </w:r>
      <w:r w:rsidRPr="00CA79A9">
        <w:rPr>
          <w:color w:val="000000" w:themeColor="text1"/>
        </w:rPr>
        <w:lastRenderedPageBreak/>
        <w:t>mandatory sentencing offences in other Australian jurisdictions which have found that minimum mandatory sentences are not an effective deterrent.</w:t>
      </w:r>
      <w:r w:rsidRPr="00CA79A9">
        <w:rPr>
          <w:rStyle w:val="FootnoteReference"/>
          <w:color w:val="000000" w:themeColor="text1"/>
        </w:rPr>
        <w:footnoteReference w:id="10"/>
      </w:r>
      <w:r w:rsidRPr="00CA79A9">
        <w:rPr>
          <w:color w:val="000000" w:themeColor="text1"/>
        </w:rPr>
        <w:t xml:space="preserve"> </w:t>
      </w:r>
    </w:p>
    <w:p w14:paraId="749A1255" w14:textId="77777777" w:rsidR="00CC4F24" w:rsidRDefault="00CC4F24" w:rsidP="00582E4C">
      <w:pPr>
        <w:ind w:right="-205"/>
        <w:jc w:val="both"/>
        <w:outlineLvl w:val="0"/>
        <w:rPr>
          <w:color w:val="000000" w:themeColor="text1"/>
        </w:rPr>
      </w:pPr>
    </w:p>
    <w:p w14:paraId="1F71085A" w14:textId="77777777" w:rsidR="00CC4F24" w:rsidRDefault="00CC4F24" w:rsidP="00CC4F24">
      <w:pPr>
        <w:ind w:right="-205"/>
        <w:jc w:val="both"/>
        <w:rPr>
          <w:color w:val="000000" w:themeColor="text1"/>
        </w:rPr>
      </w:pPr>
      <w:r>
        <w:rPr>
          <w:noProof/>
          <w:color w:val="000000" w:themeColor="text1"/>
        </w:rPr>
        <w:drawing>
          <wp:inline distT="0" distB="0" distL="0" distR="0" wp14:anchorId="740A42E0" wp14:editId="1E14A040">
            <wp:extent cx="5651770" cy="2966936"/>
            <wp:effectExtent l="0" t="0" r="12700" b="17780"/>
            <wp:docPr id="5706156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225057" w14:textId="6F2BC794" w:rsidR="00CC4F24" w:rsidRPr="00CC4F24" w:rsidRDefault="00CC4F24" w:rsidP="00582E4C">
      <w:pPr>
        <w:ind w:right="-205"/>
        <w:jc w:val="both"/>
        <w:outlineLvl w:val="0"/>
        <w:rPr>
          <w:color w:val="000000" w:themeColor="text1"/>
          <w:sz w:val="20"/>
          <w:szCs w:val="20"/>
        </w:rPr>
      </w:pPr>
      <w:r w:rsidRPr="00CC4F24">
        <w:rPr>
          <w:color w:val="000000" w:themeColor="text1"/>
          <w:sz w:val="20"/>
          <w:szCs w:val="20"/>
        </w:rPr>
        <w:t xml:space="preserve">Source: Department of Police, Fire and Emergency Management, Corporate Performance Reports. </w:t>
      </w:r>
    </w:p>
    <w:p w14:paraId="0C31EFE8" w14:textId="77777777" w:rsidR="00000B1D" w:rsidRDefault="00000B1D" w:rsidP="00582E4C">
      <w:pPr>
        <w:ind w:right="-205"/>
        <w:jc w:val="both"/>
        <w:outlineLvl w:val="0"/>
        <w:rPr>
          <w:rFonts w:ascii="Cambria" w:hAnsi="Cambria"/>
          <w:color w:val="000000" w:themeColor="text1"/>
        </w:rPr>
      </w:pPr>
    </w:p>
    <w:p w14:paraId="03CEF5FD" w14:textId="51079EDA" w:rsidR="00463F47" w:rsidRPr="00CA79A9" w:rsidRDefault="00EF761B" w:rsidP="00582E4C">
      <w:pPr>
        <w:ind w:right="-205"/>
        <w:jc w:val="both"/>
        <w:outlineLvl w:val="0"/>
        <w:rPr>
          <w:color w:val="000000" w:themeColor="text1"/>
        </w:rPr>
      </w:pPr>
      <w:r w:rsidRPr="00CA79A9">
        <w:rPr>
          <w:rFonts w:ascii="Cambria" w:hAnsi="Cambria"/>
          <w:color w:val="000000" w:themeColor="text1"/>
        </w:rPr>
        <w:t xml:space="preserve">The Supreme Court of Tasmania has only reported one case in which an offender was sentenced pursuant to section 16A of the </w:t>
      </w:r>
      <w:r w:rsidRPr="00CA79A9">
        <w:rPr>
          <w:rFonts w:ascii="Cambria" w:hAnsi="Cambria"/>
          <w:i/>
          <w:iCs/>
          <w:color w:val="000000" w:themeColor="text1"/>
        </w:rPr>
        <w:t>Sentencing Act 1997</w:t>
      </w:r>
      <w:r w:rsidRPr="00CA79A9">
        <w:rPr>
          <w:rFonts w:ascii="Cambria" w:hAnsi="Cambria"/>
          <w:color w:val="000000" w:themeColor="text1"/>
        </w:rPr>
        <w:t xml:space="preserve"> (Tas). </w:t>
      </w:r>
      <w:r w:rsidR="00610611" w:rsidRPr="00CA79A9">
        <w:rPr>
          <w:rFonts w:ascii="Cambria" w:hAnsi="Cambria"/>
          <w:color w:val="000000" w:themeColor="text1"/>
        </w:rPr>
        <w:t xml:space="preserve">In </w:t>
      </w:r>
      <w:r w:rsidR="00610611" w:rsidRPr="00CA79A9">
        <w:rPr>
          <w:rFonts w:ascii="Cambria" w:hAnsi="Cambria"/>
          <w:i/>
          <w:iCs/>
          <w:color w:val="000000" w:themeColor="text1"/>
        </w:rPr>
        <w:t>Tasmania v Gladwin</w:t>
      </w:r>
      <w:r w:rsidR="00610611" w:rsidRPr="00CA79A9">
        <w:rPr>
          <w:rFonts w:ascii="Cambria" w:hAnsi="Cambria"/>
          <w:color w:val="000000" w:themeColor="text1"/>
        </w:rPr>
        <w:t>,</w:t>
      </w:r>
      <w:r w:rsidR="003865A4" w:rsidRPr="00CA79A9">
        <w:rPr>
          <w:rStyle w:val="FootnoteReference"/>
          <w:rFonts w:ascii="Cambria" w:hAnsi="Cambria"/>
          <w:color w:val="000000" w:themeColor="text1"/>
        </w:rPr>
        <w:footnoteReference w:id="11"/>
      </w:r>
      <w:r w:rsidR="00610611" w:rsidRPr="00CA79A9">
        <w:rPr>
          <w:rFonts w:ascii="Cambria" w:hAnsi="Cambria"/>
          <w:color w:val="000000" w:themeColor="text1"/>
        </w:rPr>
        <w:t xml:space="preserve"> the accused was charged with assaulting a police officer </w:t>
      </w:r>
      <w:r w:rsidR="00582E4C" w:rsidRPr="00CA79A9">
        <w:rPr>
          <w:rFonts w:ascii="Cambria" w:hAnsi="Cambria"/>
          <w:color w:val="000000" w:themeColor="text1"/>
        </w:rPr>
        <w:t xml:space="preserve">who was </w:t>
      </w:r>
      <w:r w:rsidR="00610611" w:rsidRPr="00CA79A9">
        <w:rPr>
          <w:rFonts w:ascii="Cambria" w:hAnsi="Cambria"/>
          <w:color w:val="000000" w:themeColor="text1"/>
        </w:rPr>
        <w:t>attempt</w:t>
      </w:r>
      <w:r w:rsidR="00582E4C" w:rsidRPr="00CA79A9">
        <w:rPr>
          <w:rFonts w:ascii="Cambria" w:hAnsi="Cambria"/>
          <w:color w:val="000000" w:themeColor="text1"/>
        </w:rPr>
        <w:t>ing</w:t>
      </w:r>
      <w:r w:rsidR="00610611" w:rsidRPr="00CA79A9">
        <w:rPr>
          <w:rFonts w:ascii="Cambria" w:hAnsi="Cambria"/>
          <w:color w:val="000000" w:themeColor="text1"/>
        </w:rPr>
        <w:t xml:space="preserve"> to arrest him.</w:t>
      </w:r>
      <w:r w:rsidR="003865A4" w:rsidRPr="00CA79A9">
        <w:rPr>
          <w:rFonts w:ascii="Cambria" w:hAnsi="Cambria"/>
          <w:color w:val="000000" w:themeColor="text1"/>
        </w:rPr>
        <w:t xml:space="preserve"> </w:t>
      </w:r>
      <w:r w:rsidR="00610611" w:rsidRPr="00CA79A9">
        <w:rPr>
          <w:rFonts w:ascii="Cambria" w:hAnsi="Cambria"/>
          <w:color w:val="000000" w:themeColor="text1"/>
        </w:rPr>
        <w:t>During the attempted arrest, the police officer fell backwards hitting her head on a wall heater. The police officer subsequently discovered that she had fractured her left little finger in the fall.</w:t>
      </w:r>
      <w:r w:rsidR="00582E4C" w:rsidRPr="00CA79A9">
        <w:rPr>
          <w:rFonts w:ascii="Cambria" w:hAnsi="Cambria"/>
          <w:color w:val="000000" w:themeColor="text1"/>
        </w:rPr>
        <w:t xml:space="preserve"> </w:t>
      </w:r>
      <w:r w:rsidR="00582E4C" w:rsidRPr="00CA79A9">
        <w:rPr>
          <w:color w:val="000000" w:themeColor="text1"/>
        </w:rPr>
        <w:t>Relevantly, the case considered whether the injuries suffered by the police officer amounted to ‘serious bodily harm’. The Supreme Court noted that whilst ‘bodily harm’ and ‘grievous bodily harm’ are defined</w:t>
      </w:r>
      <w:r w:rsidR="00582E4C" w:rsidRPr="00CA79A9">
        <w:rPr>
          <w:rStyle w:val="FootnoteReference"/>
          <w:color w:val="000000" w:themeColor="text1"/>
        </w:rPr>
        <w:footnoteReference w:id="12"/>
      </w:r>
      <w:r w:rsidR="00582E4C" w:rsidRPr="00CA79A9">
        <w:rPr>
          <w:color w:val="000000" w:themeColor="text1"/>
        </w:rPr>
        <w:t xml:space="preserve"> there is no definition of </w:t>
      </w:r>
      <w:r w:rsidR="00B210C3" w:rsidRPr="00CA79A9">
        <w:rPr>
          <w:color w:val="000000" w:themeColor="text1"/>
        </w:rPr>
        <w:t>‘</w:t>
      </w:r>
      <w:r w:rsidR="00582E4C" w:rsidRPr="00CA79A9">
        <w:rPr>
          <w:color w:val="000000" w:themeColor="text1"/>
        </w:rPr>
        <w:t>serious bodily harm</w:t>
      </w:r>
      <w:r w:rsidR="00B210C3" w:rsidRPr="00CA79A9">
        <w:rPr>
          <w:color w:val="000000" w:themeColor="text1"/>
        </w:rPr>
        <w:t>’</w:t>
      </w:r>
      <w:r w:rsidR="00582E4C" w:rsidRPr="00CA79A9">
        <w:rPr>
          <w:color w:val="000000" w:themeColor="text1"/>
        </w:rPr>
        <w:t xml:space="preserve">. The Supreme Court </w:t>
      </w:r>
      <w:r w:rsidR="00B210C3" w:rsidRPr="00CA79A9">
        <w:rPr>
          <w:color w:val="000000" w:themeColor="text1"/>
        </w:rPr>
        <w:t>found</w:t>
      </w:r>
      <w:r w:rsidR="00582E4C" w:rsidRPr="00CA79A9">
        <w:rPr>
          <w:color w:val="000000" w:themeColor="text1"/>
        </w:rPr>
        <w:t xml:space="preserve"> that </w:t>
      </w:r>
      <w:r w:rsidR="00B210C3" w:rsidRPr="00CA79A9">
        <w:rPr>
          <w:color w:val="000000" w:themeColor="text1"/>
        </w:rPr>
        <w:t>‘</w:t>
      </w:r>
      <w:r w:rsidR="00582E4C" w:rsidRPr="00CA79A9">
        <w:rPr>
          <w:color w:val="000000" w:themeColor="text1"/>
        </w:rPr>
        <w:t>serious bodily harm</w:t>
      </w:r>
      <w:r w:rsidR="00B210C3" w:rsidRPr="00CA79A9">
        <w:rPr>
          <w:color w:val="000000" w:themeColor="text1"/>
        </w:rPr>
        <w:t>’</w:t>
      </w:r>
      <w:r w:rsidR="00582E4C" w:rsidRPr="00CA79A9">
        <w:rPr>
          <w:color w:val="000000" w:themeColor="text1"/>
        </w:rPr>
        <w:t xml:space="preserve"> was more than bodily harm but not as serious as grievous bodily harm, with Brett J observing:</w:t>
      </w:r>
      <w:r w:rsidR="00F4545D" w:rsidRPr="00CA79A9">
        <w:rPr>
          <w:rStyle w:val="FootnoteReference"/>
          <w:color w:val="000000" w:themeColor="text1"/>
        </w:rPr>
        <w:footnoteReference w:id="13"/>
      </w:r>
    </w:p>
    <w:p w14:paraId="7C5C9A81" w14:textId="6B044B03" w:rsidR="00582E4C" w:rsidRPr="005F4306" w:rsidRDefault="00582E4C" w:rsidP="005F4306">
      <w:pPr>
        <w:shd w:val="clear" w:color="auto" w:fill="FFFFFF"/>
        <w:spacing w:before="100" w:beforeAutospacing="1" w:after="240"/>
        <w:ind w:left="720"/>
        <w:jc w:val="both"/>
        <w:rPr>
          <w:rFonts w:eastAsia="Times New Roman" w:cs="Times New Roman"/>
          <w:i/>
          <w:iCs/>
          <w:color w:val="000000" w:themeColor="text1"/>
          <w:lang w:eastAsia="en-GB"/>
        </w:rPr>
      </w:pPr>
      <w:r w:rsidRPr="00582E4C">
        <w:rPr>
          <w:rFonts w:eastAsia="Times New Roman" w:cs="Times New Roman"/>
          <w:i/>
          <w:iCs/>
          <w:color w:val="000000" w:themeColor="text1"/>
          <w:lang w:eastAsia="en-GB"/>
        </w:rPr>
        <w:t xml:space="preserve">The above considerations lead to the conclusion that by using the term "serious bodily harm", the legislature intended that the minimum degree of seriousness required to activate the section would fall somewhere between mere bodily harm and grievous bodily harm. Ultimately, the assessment as to whether the police officer has suffered serious bodily injury will be a question of fact and degree, but made in the context of the abovementioned </w:t>
      </w:r>
      <w:r w:rsidRPr="00582E4C">
        <w:rPr>
          <w:rFonts w:eastAsia="Times New Roman" w:cs="Times New Roman"/>
          <w:i/>
          <w:iCs/>
          <w:color w:val="000000" w:themeColor="text1"/>
          <w:lang w:eastAsia="en-GB"/>
        </w:rPr>
        <w:lastRenderedPageBreak/>
        <w:t>considerations. The causation of mere bodily harm will not be sufficient to activate the application of the section, but neither must the harm amount to grievous bodily harm. In determining whether or not the harm suffered is serious bodily harm, the sentencing court must be satisfied of that fact beyond reasonable doubt before the section will have application.</w:t>
      </w:r>
    </w:p>
    <w:p w14:paraId="0A20E007" w14:textId="2A3F3573" w:rsidR="002F7C80" w:rsidRDefault="00B210C3" w:rsidP="003865A4">
      <w:pPr>
        <w:ind w:right="-205"/>
        <w:jc w:val="both"/>
        <w:outlineLvl w:val="0"/>
        <w:rPr>
          <w:rFonts w:ascii="Cambria" w:eastAsia="Times New Roman" w:hAnsi="Cambria" w:cs="Times New Roman"/>
          <w:color w:val="000000" w:themeColor="text1"/>
          <w:lang w:eastAsia="en-GB"/>
        </w:rPr>
      </w:pPr>
      <w:r>
        <w:rPr>
          <w:rFonts w:ascii="Cambria" w:hAnsi="Cambria"/>
          <w:color w:val="000000" w:themeColor="text1"/>
        </w:rPr>
        <w:t>On the facts before it, t</w:t>
      </w:r>
      <w:r w:rsidR="00582E4C">
        <w:rPr>
          <w:rFonts w:ascii="Cambria" w:hAnsi="Cambria"/>
          <w:color w:val="000000" w:themeColor="text1"/>
        </w:rPr>
        <w:t xml:space="preserve">he Supreme Court </w:t>
      </w:r>
      <w:r w:rsidR="00582E4C" w:rsidRPr="00582E4C">
        <w:rPr>
          <w:rFonts w:ascii="Cambria" w:eastAsia="Times New Roman" w:hAnsi="Cambria" w:cs="Times New Roman"/>
          <w:color w:val="000000" w:themeColor="text1"/>
          <w:lang w:eastAsia="en-GB"/>
        </w:rPr>
        <w:t>determined that the bodily harm was not serious enough to warrant the imposition of a mandatory term of imprisonment</w:t>
      </w:r>
      <w:r w:rsidR="00582E4C">
        <w:rPr>
          <w:rFonts w:ascii="Cambria" w:eastAsia="Times New Roman" w:hAnsi="Cambria" w:cs="Times New Roman"/>
          <w:color w:val="000000" w:themeColor="text1"/>
          <w:lang w:eastAsia="en-GB"/>
        </w:rPr>
        <w:t xml:space="preserve"> because</w:t>
      </w:r>
      <w:r w:rsidR="00582E4C" w:rsidRPr="00582E4C">
        <w:rPr>
          <w:rFonts w:ascii="Cambria" w:eastAsia="Times New Roman" w:hAnsi="Cambria" w:cs="Times New Roman"/>
          <w:color w:val="000000" w:themeColor="text1"/>
          <w:lang w:eastAsia="en-GB"/>
        </w:rPr>
        <w:t xml:space="preserve"> the police officer did not require </w:t>
      </w:r>
      <w:proofErr w:type="spellStart"/>
      <w:r w:rsidR="00582E4C" w:rsidRPr="00582E4C">
        <w:rPr>
          <w:rFonts w:ascii="Cambria" w:eastAsia="Times New Roman" w:hAnsi="Cambria" w:cs="Times New Roman"/>
          <w:color w:val="000000" w:themeColor="text1"/>
          <w:lang w:eastAsia="en-GB"/>
        </w:rPr>
        <w:t>hospitalisation</w:t>
      </w:r>
      <w:proofErr w:type="spellEnd"/>
      <w:r w:rsidR="00582E4C" w:rsidRPr="00582E4C">
        <w:rPr>
          <w:rFonts w:ascii="Cambria" w:eastAsia="Times New Roman" w:hAnsi="Cambria" w:cs="Times New Roman"/>
          <w:color w:val="000000" w:themeColor="text1"/>
          <w:lang w:eastAsia="en-GB"/>
        </w:rPr>
        <w:t xml:space="preserve"> </w:t>
      </w:r>
      <w:r>
        <w:rPr>
          <w:rFonts w:ascii="Cambria" w:eastAsia="Times New Roman" w:hAnsi="Cambria" w:cs="Times New Roman"/>
          <w:color w:val="000000" w:themeColor="text1"/>
          <w:lang w:eastAsia="en-GB"/>
        </w:rPr>
        <w:t>or</w:t>
      </w:r>
      <w:r w:rsidR="00582E4C" w:rsidRPr="00582E4C">
        <w:rPr>
          <w:rFonts w:ascii="Cambria" w:eastAsia="Times New Roman" w:hAnsi="Cambria" w:cs="Times New Roman"/>
          <w:color w:val="000000" w:themeColor="text1"/>
          <w:lang w:eastAsia="en-GB"/>
        </w:rPr>
        <w:t xml:space="preserve"> surgery. The accused was subsequently sentenced to 5 months imprisonment</w:t>
      </w:r>
      <w:r w:rsidR="00582E4C">
        <w:rPr>
          <w:rFonts w:ascii="Cambria" w:eastAsia="Times New Roman" w:hAnsi="Cambria" w:cs="Times New Roman"/>
          <w:color w:val="000000" w:themeColor="text1"/>
          <w:lang w:eastAsia="en-GB"/>
        </w:rPr>
        <w:t>.</w:t>
      </w:r>
      <w:r w:rsidR="00582E4C">
        <w:rPr>
          <w:rStyle w:val="FootnoteReference"/>
          <w:rFonts w:ascii="Cambria" w:eastAsia="Times New Roman" w:hAnsi="Cambria" w:cs="Times New Roman"/>
          <w:color w:val="000000" w:themeColor="text1"/>
          <w:lang w:eastAsia="en-GB"/>
        </w:rPr>
        <w:footnoteReference w:id="14"/>
      </w:r>
    </w:p>
    <w:p w14:paraId="0F2C8FC7" w14:textId="77777777" w:rsidR="00000B1D" w:rsidRDefault="00000B1D" w:rsidP="003865A4">
      <w:pPr>
        <w:ind w:right="-205"/>
        <w:jc w:val="both"/>
        <w:outlineLvl w:val="0"/>
        <w:rPr>
          <w:rFonts w:ascii="Cambria" w:eastAsia="Times New Roman" w:hAnsi="Cambria" w:cs="Times New Roman"/>
          <w:color w:val="000000" w:themeColor="text1"/>
          <w:lang w:eastAsia="en-GB"/>
        </w:rPr>
      </w:pPr>
    </w:p>
    <w:p w14:paraId="2080E577" w14:textId="77777777" w:rsidR="00000B1D" w:rsidRPr="00851641" w:rsidRDefault="00000B1D" w:rsidP="00000B1D">
      <w:pPr>
        <w:ind w:right="-205"/>
        <w:rPr>
          <w:b/>
          <w:bCs/>
        </w:rPr>
      </w:pPr>
      <w:r w:rsidRPr="00851641">
        <w:rPr>
          <w:b/>
          <w:bCs/>
        </w:rPr>
        <w:t>Aboriginal and Torres Strait Islander persons</w:t>
      </w:r>
    </w:p>
    <w:p w14:paraId="0B372B86" w14:textId="206C708D" w:rsidR="00EF761B" w:rsidRPr="00EF761B" w:rsidRDefault="00000B1D" w:rsidP="00000B1D">
      <w:pPr>
        <w:ind w:right="-52"/>
        <w:jc w:val="both"/>
        <w:rPr>
          <w:color w:val="000000" w:themeColor="text1"/>
        </w:rPr>
      </w:pPr>
      <w:r w:rsidRPr="00EF761B">
        <w:rPr>
          <w:rFonts w:ascii="Cambria" w:eastAsia="Times New Roman" w:hAnsi="Cambria" w:cs="Times New Roman"/>
          <w:color w:val="000000" w:themeColor="text1"/>
          <w:lang w:eastAsia="en-GB"/>
        </w:rPr>
        <w:t xml:space="preserve">Mandatory and prescribed minimum sentences </w:t>
      </w:r>
      <w:r w:rsidRPr="00EF761B">
        <w:rPr>
          <w:color w:val="000000" w:themeColor="text1"/>
        </w:rPr>
        <w:t xml:space="preserve">disproportionately affect the Aboriginal and Torres Strait Islander community. </w:t>
      </w:r>
      <w:r w:rsidRPr="00EF761B">
        <w:rPr>
          <w:rFonts w:ascii="Cambria" w:hAnsi="Cambria"/>
          <w:color w:val="000000" w:themeColor="text1"/>
        </w:rPr>
        <w:t>In Tasmania, 23 per cent of the prison population is Aboriginal or Torres Strait Islander whilst comprising 5 per cent of the broader Tasmanian population.</w:t>
      </w:r>
      <w:r w:rsidRPr="00EF761B">
        <w:rPr>
          <w:rStyle w:val="FootnoteReference"/>
          <w:rFonts w:ascii="Cambria" w:hAnsi="Cambria"/>
          <w:color w:val="000000" w:themeColor="text1"/>
        </w:rPr>
        <w:footnoteReference w:id="15"/>
      </w:r>
      <w:r w:rsidRPr="00EF761B">
        <w:rPr>
          <w:rFonts w:ascii="Cambria" w:hAnsi="Cambria"/>
          <w:color w:val="000000" w:themeColor="text1"/>
        </w:rPr>
        <w:t xml:space="preserve"> </w:t>
      </w:r>
      <w:r w:rsidRPr="00EF761B">
        <w:rPr>
          <w:rFonts w:ascii="Cambria" w:hAnsi="Cambria" w:cs="Open Sans"/>
          <w:color w:val="000000" w:themeColor="text1"/>
        </w:rPr>
        <w:t>As well, over the last decade, Tasmania’s prison population has increased by 30 per cent whilst the Aboriginal and Torres Strait Islander prisoner population has almost doubled (98 per cent increase).</w:t>
      </w:r>
      <w:r w:rsidRPr="00EF761B">
        <w:rPr>
          <w:rStyle w:val="FootnoteReference"/>
          <w:rFonts w:ascii="Cambria" w:hAnsi="Cambria" w:cs="Open Sans"/>
          <w:color w:val="000000" w:themeColor="text1"/>
        </w:rPr>
        <w:footnoteReference w:id="16"/>
      </w:r>
      <w:r w:rsidRPr="00EF761B">
        <w:rPr>
          <w:rFonts w:ascii="Cambria" w:hAnsi="Cambria" w:cs="Open Sans"/>
          <w:color w:val="000000" w:themeColor="text1"/>
        </w:rPr>
        <w:t xml:space="preserve"> We are concerned that the introduction of a prescribed minimum sentence is likely to</w:t>
      </w:r>
      <w:r w:rsidR="002A30D5" w:rsidRPr="00EF761B">
        <w:rPr>
          <w:rFonts w:ascii="Cambria" w:hAnsi="Cambria" w:cs="Open Sans"/>
          <w:color w:val="000000" w:themeColor="text1"/>
        </w:rPr>
        <w:t xml:space="preserve"> </w:t>
      </w:r>
      <w:r w:rsidRPr="00EF761B">
        <w:rPr>
          <w:color w:val="000000" w:themeColor="text1"/>
        </w:rPr>
        <w:t xml:space="preserve">disproportionately </w:t>
      </w:r>
      <w:r w:rsidR="002A30D5" w:rsidRPr="00EF761B">
        <w:rPr>
          <w:color w:val="000000" w:themeColor="text1"/>
        </w:rPr>
        <w:t>impact</w:t>
      </w:r>
      <w:r w:rsidRPr="00EF761B">
        <w:rPr>
          <w:color w:val="000000" w:themeColor="text1"/>
        </w:rPr>
        <w:t xml:space="preserve"> Aboriginal and Torres Strait Islander</w:t>
      </w:r>
      <w:r w:rsidR="002A30D5" w:rsidRPr="00EF761B">
        <w:rPr>
          <w:color w:val="000000" w:themeColor="text1"/>
        </w:rPr>
        <w:t xml:space="preserve"> people </w:t>
      </w:r>
      <w:r w:rsidRPr="00EF761B">
        <w:rPr>
          <w:color w:val="000000" w:themeColor="text1"/>
        </w:rPr>
        <w:t>and contribute to increased incarceration rates</w:t>
      </w:r>
      <w:r w:rsidR="00EF761B" w:rsidRPr="00EF761B">
        <w:rPr>
          <w:color w:val="000000" w:themeColor="text1"/>
        </w:rPr>
        <w:t xml:space="preserve"> as documented in other jurisdictions.</w:t>
      </w:r>
      <w:r w:rsidR="00EF761B" w:rsidRPr="00EF761B">
        <w:rPr>
          <w:rStyle w:val="FootnoteReference"/>
          <w:color w:val="000000" w:themeColor="text1"/>
        </w:rPr>
        <w:footnoteReference w:id="17"/>
      </w:r>
      <w:r w:rsidR="00EF761B" w:rsidRPr="00EF761B">
        <w:rPr>
          <w:color w:val="000000" w:themeColor="text1"/>
        </w:rPr>
        <w:t xml:space="preserve">  </w:t>
      </w:r>
    </w:p>
    <w:p w14:paraId="391FD2D4" w14:textId="77777777" w:rsidR="00B10350" w:rsidRDefault="00B10350" w:rsidP="00B57346">
      <w:pPr>
        <w:rPr>
          <w:b/>
          <w:bCs/>
        </w:rPr>
      </w:pPr>
    </w:p>
    <w:p w14:paraId="032333B5" w14:textId="2FD0BA3D" w:rsidR="00000B1D" w:rsidRDefault="00000B1D" w:rsidP="00B57346">
      <w:pPr>
        <w:rPr>
          <w:b/>
          <w:bCs/>
        </w:rPr>
      </w:pPr>
      <w:r>
        <w:rPr>
          <w:b/>
          <w:bCs/>
        </w:rPr>
        <w:t>THE BILL</w:t>
      </w:r>
    </w:p>
    <w:p w14:paraId="63994A8D" w14:textId="3F0A3B97" w:rsidR="00000B1D" w:rsidRPr="00000B1D" w:rsidRDefault="00B57346" w:rsidP="00B57346">
      <w:pPr>
        <w:pStyle w:val="ListParagraph"/>
        <w:numPr>
          <w:ilvl w:val="0"/>
          <w:numId w:val="12"/>
        </w:numPr>
        <w:rPr>
          <w:b/>
          <w:bCs/>
          <w:i/>
          <w:iCs/>
        </w:rPr>
      </w:pPr>
      <w:r w:rsidRPr="00000B1D">
        <w:rPr>
          <w:b/>
          <w:bCs/>
          <w:i/>
          <w:iCs/>
        </w:rPr>
        <w:t>Impaired Mental Functioning</w:t>
      </w:r>
    </w:p>
    <w:p w14:paraId="5F4BD9A5" w14:textId="416BB605" w:rsidR="009978C2" w:rsidRDefault="002F6CDE" w:rsidP="009978C2">
      <w:pPr>
        <w:jc w:val="both"/>
      </w:pPr>
      <w:r w:rsidRPr="005106EE">
        <w:t>The theory that</w:t>
      </w:r>
      <w:r w:rsidR="00FC2A9C">
        <w:t xml:space="preserve"> </w:t>
      </w:r>
      <w:r w:rsidR="00000B1D">
        <w:t>a prescribed</w:t>
      </w:r>
      <w:r w:rsidRPr="005106EE">
        <w:t xml:space="preserve"> </w:t>
      </w:r>
      <w:r w:rsidR="00000B1D">
        <w:t xml:space="preserve">minimum </w:t>
      </w:r>
      <w:r w:rsidRPr="005106EE">
        <w:t>sen</w:t>
      </w:r>
      <w:r>
        <w:t>tenc</w:t>
      </w:r>
      <w:r w:rsidR="00000B1D">
        <w:t>e</w:t>
      </w:r>
      <w:r>
        <w:t xml:space="preserve"> </w:t>
      </w:r>
      <w:r w:rsidR="00000B1D">
        <w:t xml:space="preserve">will </w:t>
      </w:r>
      <w:r>
        <w:t>operate as a deterrent</w:t>
      </w:r>
      <w:r w:rsidRPr="005106EE">
        <w:t xml:space="preserve"> cannot be applied to </w:t>
      </w:r>
      <w:r>
        <w:t>those</w:t>
      </w:r>
      <w:r w:rsidRPr="005106EE">
        <w:t xml:space="preserve"> with </w:t>
      </w:r>
      <w:r w:rsidR="00B34DAD">
        <w:t xml:space="preserve">impaired mental functioning </w:t>
      </w:r>
      <w:r w:rsidRPr="005106EE">
        <w:t xml:space="preserve">as offending is </w:t>
      </w:r>
      <w:r>
        <w:t>often not based i</w:t>
      </w:r>
      <w:r w:rsidRPr="005106EE">
        <w:t>n rational decision</w:t>
      </w:r>
      <w:r>
        <w:t xml:space="preserve"> making</w:t>
      </w:r>
      <w:r w:rsidR="00D80950">
        <w:t>.</w:t>
      </w:r>
      <w:r>
        <w:rPr>
          <w:rStyle w:val="FootnoteReference"/>
        </w:rPr>
        <w:footnoteReference w:id="18"/>
      </w:r>
      <w:r w:rsidRPr="005106EE">
        <w:t xml:space="preserve"> </w:t>
      </w:r>
      <w:r w:rsidR="00FB2E17">
        <w:t>P</w:t>
      </w:r>
      <w:r w:rsidR="00D80950">
        <w:t xml:space="preserve">ersons </w:t>
      </w:r>
      <w:r>
        <w:t>with</w:t>
      </w:r>
      <w:r w:rsidRPr="005106EE">
        <w:t xml:space="preserve"> </w:t>
      </w:r>
      <w:r w:rsidR="00FC2A9C">
        <w:t xml:space="preserve">impaired mental functioning </w:t>
      </w:r>
      <w:r w:rsidRPr="005106EE">
        <w:t>are more likely to come into</w:t>
      </w:r>
      <w:r>
        <w:t xml:space="preserve"> contact with frontline workers,</w:t>
      </w:r>
      <w:r w:rsidR="00FB2E17">
        <w:t xml:space="preserve"> and as a result, </w:t>
      </w:r>
      <w:r>
        <w:t xml:space="preserve">the introduction of </w:t>
      </w:r>
      <w:r w:rsidR="00D80950">
        <w:t xml:space="preserve">a prescribed </w:t>
      </w:r>
      <w:r w:rsidR="00FB2E17">
        <w:t>minimum</w:t>
      </w:r>
      <w:r w:rsidR="008F1676">
        <w:t xml:space="preserve"> term </w:t>
      </w:r>
      <w:r w:rsidR="00D80950">
        <w:t>of imprisonment</w:t>
      </w:r>
      <w:r>
        <w:t xml:space="preserve"> is likely to</w:t>
      </w:r>
      <w:r w:rsidRPr="005106EE">
        <w:t xml:space="preserve"> have a </w:t>
      </w:r>
      <w:r w:rsidR="00000B1D">
        <w:t xml:space="preserve">detrimental </w:t>
      </w:r>
      <w:r w:rsidRPr="005106EE">
        <w:t>effect on this group.</w:t>
      </w:r>
      <w:r w:rsidR="009978C2">
        <w:t xml:space="preserve"> </w:t>
      </w:r>
    </w:p>
    <w:p w14:paraId="473FB17B" w14:textId="77777777" w:rsidR="009978C2" w:rsidRDefault="009978C2" w:rsidP="009978C2">
      <w:pPr>
        <w:jc w:val="both"/>
      </w:pPr>
    </w:p>
    <w:p w14:paraId="3E8DC505" w14:textId="1C0D4441" w:rsidR="009978C2" w:rsidRDefault="009978C2" w:rsidP="00B57346">
      <w:pPr>
        <w:jc w:val="both"/>
      </w:pPr>
      <w:r>
        <w:t xml:space="preserve">Another reason why </w:t>
      </w:r>
      <w:r w:rsidR="00B34DAD">
        <w:t>harsher sentences</w:t>
      </w:r>
      <w:r>
        <w:rPr>
          <w:rFonts w:ascii="Cambria" w:eastAsia="Times New Roman" w:hAnsi="Cambria" w:cs="Times New Roman"/>
          <w:color w:val="000000" w:themeColor="text1"/>
          <w:lang w:eastAsia="en-GB"/>
        </w:rPr>
        <w:t xml:space="preserve"> should not be imposed</w:t>
      </w:r>
      <w:r w:rsidR="00FC2A9C">
        <w:rPr>
          <w:rFonts w:ascii="Cambria" w:eastAsia="Times New Roman" w:hAnsi="Cambria" w:cs="Times New Roman"/>
          <w:color w:val="000000" w:themeColor="text1"/>
          <w:lang w:eastAsia="en-GB"/>
        </w:rPr>
        <w:t xml:space="preserve"> against persons with impaired mental functioning </w:t>
      </w:r>
      <w:r w:rsidR="00B55A5E">
        <w:rPr>
          <w:rFonts w:ascii="Cambria" w:eastAsia="Times New Roman" w:hAnsi="Cambria" w:cs="Times New Roman"/>
          <w:color w:val="000000" w:themeColor="text1"/>
          <w:lang w:eastAsia="en-GB"/>
        </w:rPr>
        <w:t>is</w:t>
      </w:r>
      <w:r>
        <w:rPr>
          <w:rFonts w:ascii="Cambria" w:eastAsia="Times New Roman" w:hAnsi="Cambria" w:cs="Times New Roman"/>
          <w:color w:val="000000" w:themeColor="text1"/>
          <w:lang w:eastAsia="en-GB"/>
        </w:rPr>
        <w:t xml:space="preserve"> that families, friends and </w:t>
      </w:r>
      <w:proofErr w:type="spellStart"/>
      <w:r>
        <w:rPr>
          <w:rFonts w:ascii="Cambria" w:eastAsia="Times New Roman" w:hAnsi="Cambria" w:cs="Times New Roman"/>
          <w:color w:val="000000" w:themeColor="text1"/>
          <w:lang w:eastAsia="en-GB"/>
        </w:rPr>
        <w:t>carers</w:t>
      </w:r>
      <w:proofErr w:type="spellEnd"/>
      <w:r>
        <w:rPr>
          <w:rFonts w:ascii="Cambria" w:eastAsia="Times New Roman" w:hAnsi="Cambria" w:cs="Times New Roman"/>
          <w:color w:val="000000" w:themeColor="text1"/>
          <w:lang w:eastAsia="en-GB"/>
        </w:rPr>
        <w:t xml:space="preserve"> may be reluctant to seek medical assistance </w:t>
      </w:r>
      <w:r w:rsidR="00FC2A9C">
        <w:rPr>
          <w:rFonts w:ascii="Cambria" w:eastAsia="Times New Roman" w:hAnsi="Cambria" w:cs="Times New Roman"/>
          <w:color w:val="000000" w:themeColor="text1"/>
          <w:lang w:eastAsia="en-GB"/>
        </w:rPr>
        <w:t xml:space="preserve">where the person is exhibiting </w:t>
      </w:r>
      <w:r>
        <w:rPr>
          <w:rFonts w:ascii="Cambria" w:eastAsia="Times New Roman" w:hAnsi="Cambria" w:cs="Times New Roman"/>
          <w:color w:val="000000" w:themeColor="text1"/>
          <w:lang w:eastAsia="en-GB"/>
        </w:rPr>
        <w:t xml:space="preserve">aggressive </w:t>
      </w:r>
      <w:proofErr w:type="spellStart"/>
      <w:r>
        <w:rPr>
          <w:rFonts w:ascii="Cambria" w:eastAsia="Times New Roman" w:hAnsi="Cambria" w:cs="Times New Roman"/>
          <w:color w:val="000000" w:themeColor="text1"/>
          <w:lang w:eastAsia="en-GB"/>
        </w:rPr>
        <w:t>behaviour</w:t>
      </w:r>
      <w:proofErr w:type="spellEnd"/>
      <w:r>
        <w:rPr>
          <w:rFonts w:ascii="Cambria" w:eastAsia="Times New Roman" w:hAnsi="Cambria" w:cs="Times New Roman"/>
          <w:color w:val="000000" w:themeColor="text1"/>
          <w:lang w:eastAsia="en-GB"/>
        </w:rPr>
        <w:t xml:space="preserve"> because of a concern th</w:t>
      </w:r>
      <w:r w:rsidR="00FC2A9C">
        <w:rPr>
          <w:rFonts w:ascii="Cambria" w:eastAsia="Times New Roman" w:hAnsi="Cambria" w:cs="Times New Roman"/>
          <w:color w:val="000000" w:themeColor="text1"/>
          <w:lang w:eastAsia="en-GB"/>
        </w:rPr>
        <w:t>ey</w:t>
      </w:r>
      <w:r>
        <w:rPr>
          <w:rFonts w:ascii="Cambria" w:eastAsia="Times New Roman" w:hAnsi="Cambria" w:cs="Times New Roman"/>
          <w:color w:val="000000" w:themeColor="text1"/>
          <w:lang w:eastAsia="en-GB"/>
        </w:rPr>
        <w:t xml:space="preserve"> may behave aggressively toward a frontline worker.</w:t>
      </w:r>
    </w:p>
    <w:p w14:paraId="334E8614" w14:textId="77777777" w:rsidR="009978C2" w:rsidRDefault="009978C2" w:rsidP="00B57346">
      <w:pPr>
        <w:jc w:val="both"/>
      </w:pPr>
    </w:p>
    <w:p w14:paraId="69435CEE" w14:textId="2A273A8A" w:rsidR="007E520D" w:rsidRDefault="009978C2" w:rsidP="007E520D">
      <w:pPr>
        <w:jc w:val="both"/>
      </w:pPr>
      <w:r>
        <w:t>Finally,</w:t>
      </w:r>
      <w:r w:rsidR="00CC4F24">
        <w:t xml:space="preserve"> Tasmanian</w:t>
      </w:r>
      <w:r w:rsidR="008F1676">
        <w:t xml:space="preserve"> courts have long recognized the need for flexibility when sentencing a person with impaired mental functioning.</w:t>
      </w:r>
      <w:r w:rsidR="00B55A5E">
        <w:t xml:space="preserve"> </w:t>
      </w:r>
      <w:r w:rsidR="007E520D">
        <w:t>For example, i</w:t>
      </w:r>
      <w:r w:rsidR="007E520D" w:rsidRPr="005106EE">
        <w:t>n</w:t>
      </w:r>
      <w:r w:rsidR="007E520D">
        <w:t xml:space="preserve"> the case of</w:t>
      </w:r>
      <w:r w:rsidR="007E520D" w:rsidRPr="005106EE">
        <w:t xml:space="preserve"> </w:t>
      </w:r>
      <w:r w:rsidR="007E520D" w:rsidRPr="007E520D">
        <w:rPr>
          <w:i/>
          <w:iCs/>
        </w:rPr>
        <w:t>Startup v Tasmani</w:t>
      </w:r>
      <w:r w:rsidR="00B34DAD">
        <w:rPr>
          <w:i/>
          <w:iCs/>
        </w:rPr>
        <w:t>a</w:t>
      </w:r>
      <w:r w:rsidR="00D810B2">
        <w:rPr>
          <w:i/>
          <w:iCs/>
        </w:rPr>
        <w:t>,</w:t>
      </w:r>
      <w:r w:rsidR="007E520D">
        <w:rPr>
          <w:rStyle w:val="FootnoteReference"/>
        </w:rPr>
        <w:footnoteReference w:id="19"/>
      </w:r>
      <w:r w:rsidR="00D810B2">
        <w:rPr>
          <w:i/>
          <w:iCs/>
        </w:rPr>
        <w:t xml:space="preserve"> </w:t>
      </w:r>
      <w:r w:rsidR="007E520D">
        <w:t xml:space="preserve">the </w:t>
      </w:r>
      <w:r w:rsidR="00D810B2">
        <w:t xml:space="preserve">Tasmanian </w:t>
      </w:r>
      <w:r w:rsidR="007E520D">
        <w:t>Court of Criminal Appeal</w:t>
      </w:r>
      <w:r w:rsidR="00B55A5E">
        <w:t xml:space="preserve"> accepted that </w:t>
      </w:r>
      <w:r w:rsidR="00B55A5E">
        <w:lastRenderedPageBreak/>
        <w:t>impaired mental functioning may impact on the sentence in the following six ways:</w:t>
      </w:r>
      <w:r w:rsidR="007E520D">
        <w:rPr>
          <w:rStyle w:val="FootnoteReference"/>
        </w:rPr>
        <w:footnoteReference w:id="20"/>
      </w:r>
    </w:p>
    <w:p w14:paraId="505E3898" w14:textId="77777777" w:rsidR="00B55A5E" w:rsidRPr="00B55A5E" w:rsidRDefault="00B55A5E" w:rsidP="00B55A5E">
      <w:pPr>
        <w:numPr>
          <w:ilvl w:val="0"/>
          <w:numId w:val="3"/>
        </w:numPr>
        <w:shd w:val="clear" w:color="auto" w:fill="FFFFFF"/>
        <w:spacing w:before="100" w:beforeAutospacing="1" w:after="240"/>
        <w:rPr>
          <w:rFonts w:eastAsia="Times New Roman" w:cs="Times New Roman"/>
          <w:i/>
          <w:iCs/>
          <w:color w:val="000000" w:themeColor="text1"/>
          <w:lang w:val="en-AU" w:eastAsia="en-GB"/>
        </w:rPr>
      </w:pPr>
      <w:r w:rsidRPr="00B55A5E">
        <w:rPr>
          <w:rFonts w:eastAsia="Times New Roman" w:cs="Times New Roman"/>
          <w:i/>
          <w:iCs/>
          <w:color w:val="000000" w:themeColor="text1"/>
          <w:lang w:val="en-AU" w:eastAsia="en-GB"/>
        </w:rPr>
        <w:t>The condition may reduce the moral culpability of the offending conduct, as distinct from the offender's legal responsibility. Where that is so, the condition affects the punishment that is just in all the circumstances; and denunciation is less likely to be a relevant sentencing objective.</w:t>
      </w:r>
    </w:p>
    <w:p w14:paraId="49AE0E7D" w14:textId="77777777" w:rsidR="00B55A5E" w:rsidRPr="00B55A5E" w:rsidRDefault="00B55A5E" w:rsidP="00B55A5E">
      <w:pPr>
        <w:numPr>
          <w:ilvl w:val="0"/>
          <w:numId w:val="4"/>
        </w:numPr>
        <w:shd w:val="clear" w:color="auto" w:fill="FFFFFF"/>
        <w:spacing w:before="100" w:beforeAutospacing="1" w:after="240"/>
        <w:rPr>
          <w:rFonts w:eastAsia="Times New Roman" w:cs="Times New Roman"/>
          <w:i/>
          <w:iCs/>
          <w:color w:val="000000" w:themeColor="text1"/>
          <w:lang w:val="en-AU" w:eastAsia="en-GB"/>
        </w:rPr>
      </w:pPr>
      <w:r w:rsidRPr="00B55A5E">
        <w:rPr>
          <w:rFonts w:eastAsia="Times New Roman" w:cs="Times New Roman"/>
          <w:i/>
          <w:iCs/>
          <w:color w:val="000000" w:themeColor="text1"/>
          <w:lang w:val="en-AU" w:eastAsia="en-GB"/>
        </w:rPr>
        <w:t>The condition may have a bearing on the kind of sentence that is imposed and the conditions in which it should be served.</w:t>
      </w:r>
    </w:p>
    <w:p w14:paraId="356EA123" w14:textId="77777777" w:rsidR="00B55A5E" w:rsidRPr="00B55A5E" w:rsidRDefault="00B55A5E" w:rsidP="00B55A5E">
      <w:pPr>
        <w:numPr>
          <w:ilvl w:val="0"/>
          <w:numId w:val="5"/>
        </w:numPr>
        <w:shd w:val="clear" w:color="auto" w:fill="FFFFFF"/>
        <w:spacing w:before="100" w:beforeAutospacing="1" w:after="240"/>
        <w:rPr>
          <w:rFonts w:eastAsia="Times New Roman" w:cs="Times New Roman"/>
          <w:i/>
          <w:iCs/>
          <w:color w:val="000000" w:themeColor="text1"/>
          <w:lang w:val="en-AU" w:eastAsia="en-GB"/>
        </w:rPr>
      </w:pPr>
      <w:r w:rsidRPr="00B55A5E">
        <w:rPr>
          <w:rFonts w:eastAsia="Times New Roman" w:cs="Times New Roman"/>
          <w:i/>
          <w:iCs/>
          <w:color w:val="000000" w:themeColor="text1"/>
          <w:lang w:val="en-AU" w:eastAsia="en-GB"/>
        </w:rPr>
        <w:t>Whether general deterrence should be moderated or eliminated as a sentencing consideration depends upon the nature and severity of the symptoms exhibited by the offender, and the effect of the condition on the mental capacity of the offender, whether at the time of the offending or at the date of sentence or both.</w:t>
      </w:r>
    </w:p>
    <w:p w14:paraId="70287961" w14:textId="77777777" w:rsidR="00B55A5E" w:rsidRPr="00B55A5E" w:rsidRDefault="00B55A5E" w:rsidP="00B55A5E">
      <w:pPr>
        <w:numPr>
          <w:ilvl w:val="0"/>
          <w:numId w:val="6"/>
        </w:numPr>
        <w:shd w:val="clear" w:color="auto" w:fill="FFFFFF"/>
        <w:spacing w:before="100" w:beforeAutospacing="1" w:after="240"/>
        <w:rPr>
          <w:rFonts w:eastAsia="Times New Roman" w:cs="Times New Roman"/>
          <w:i/>
          <w:iCs/>
          <w:color w:val="000000" w:themeColor="text1"/>
          <w:lang w:val="en-AU" w:eastAsia="en-GB"/>
        </w:rPr>
      </w:pPr>
      <w:r w:rsidRPr="00B55A5E">
        <w:rPr>
          <w:rFonts w:eastAsia="Times New Roman" w:cs="Times New Roman"/>
          <w:i/>
          <w:iCs/>
          <w:color w:val="000000" w:themeColor="text1"/>
          <w:lang w:val="en-AU" w:eastAsia="en-GB"/>
        </w:rPr>
        <w:t>Whether specific deterrence should be moderated or eliminated as a sentencing consideration likewise depends upon the nature and severity of the symptoms of the condition as exhibited by the offender, and the effect of the condition on the mental capacity of the offender, whether at the time of the offending or at the date of the sentence or both.</w:t>
      </w:r>
    </w:p>
    <w:p w14:paraId="5BC56AE2" w14:textId="77777777" w:rsidR="00B55A5E" w:rsidRPr="00B55A5E" w:rsidRDefault="00B55A5E" w:rsidP="00B55A5E">
      <w:pPr>
        <w:numPr>
          <w:ilvl w:val="0"/>
          <w:numId w:val="7"/>
        </w:numPr>
        <w:shd w:val="clear" w:color="auto" w:fill="FFFFFF"/>
        <w:spacing w:before="100" w:beforeAutospacing="1" w:after="240"/>
        <w:rPr>
          <w:rFonts w:eastAsia="Times New Roman" w:cs="Times New Roman"/>
          <w:i/>
          <w:iCs/>
          <w:color w:val="000000" w:themeColor="text1"/>
          <w:lang w:val="en-AU" w:eastAsia="en-GB"/>
        </w:rPr>
      </w:pPr>
      <w:r w:rsidRPr="00B55A5E">
        <w:rPr>
          <w:rFonts w:eastAsia="Times New Roman" w:cs="Times New Roman"/>
          <w:i/>
          <w:iCs/>
          <w:color w:val="000000" w:themeColor="text1"/>
          <w:lang w:val="en-AU" w:eastAsia="en-GB"/>
        </w:rPr>
        <w:t>The existence of the condition at the date of sentencing (or its foreseeable recurrence) may mean that a given sentence will weigh more heavily on the offender than it would on a person in normal health.</w:t>
      </w:r>
    </w:p>
    <w:p w14:paraId="3FA248A0" w14:textId="3B17D0C5" w:rsidR="00B55A5E" w:rsidRPr="00B55A5E" w:rsidRDefault="00B55A5E" w:rsidP="00B55A5E">
      <w:pPr>
        <w:numPr>
          <w:ilvl w:val="0"/>
          <w:numId w:val="8"/>
        </w:numPr>
        <w:shd w:val="clear" w:color="auto" w:fill="FFFFFF"/>
        <w:spacing w:before="100" w:beforeAutospacing="1" w:after="240"/>
        <w:rPr>
          <w:rFonts w:eastAsia="Times New Roman" w:cs="Times New Roman"/>
          <w:i/>
          <w:iCs/>
          <w:color w:val="000000" w:themeColor="text1"/>
          <w:lang w:val="en-AU" w:eastAsia="en-GB"/>
        </w:rPr>
      </w:pPr>
      <w:r w:rsidRPr="00B55A5E">
        <w:rPr>
          <w:rFonts w:eastAsia="Times New Roman" w:cs="Times New Roman"/>
          <w:i/>
          <w:iCs/>
          <w:color w:val="000000" w:themeColor="text1"/>
          <w:lang w:val="en-AU" w:eastAsia="en-GB"/>
        </w:rPr>
        <w:t>Where there is a serious risk of imprisonment having a significant adverse effect on the offender's mental health, this will be a factor tending to mitigate punishment.</w:t>
      </w:r>
    </w:p>
    <w:p w14:paraId="469752F7" w14:textId="72D0347D" w:rsidR="002F6CDE" w:rsidRDefault="00D80950" w:rsidP="00B57346">
      <w:pPr>
        <w:jc w:val="both"/>
        <w:rPr>
          <w:rFonts w:ascii="Cambria" w:eastAsia="Times New Roman" w:hAnsi="Cambria" w:cs="Times New Roman"/>
          <w:color w:val="000000" w:themeColor="text1"/>
          <w:lang w:eastAsia="en-GB"/>
        </w:rPr>
      </w:pPr>
      <w:r>
        <w:rPr>
          <w:rFonts w:ascii="Cambria" w:eastAsia="Times New Roman" w:hAnsi="Cambria" w:cs="Times New Roman"/>
          <w:color w:val="000000" w:themeColor="text1"/>
          <w:lang w:eastAsia="en-GB"/>
        </w:rPr>
        <w:t xml:space="preserve">We therefore welcome the </w:t>
      </w:r>
      <w:r w:rsidR="00FB2E17">
        <w:rPr>
          <w:rFonts w:ascii="Cambria" w:eastAsia="Times New Roman" w:hAnsi="Cambria" w:cs="Times New Roman"/>
          <w:color w:val="000000" w:themeColor="text1"/>
          <w:lang w:eastAsia="en-GB"/>
        </w:rPr>
        <w:t xml:space="preserve">Bill’s explicit recognition that </w:t>
      </w:r>
      <w:r w:rsidR="00B57346">
        <w:rPr>
          <w:rFonts w:ascii="Cambria" w:eastAsia="Times New Roman" w:hAnsi="Cambria" w:cs="Times New Roman"/>
          <w:color w:val="000000" w:themeColor="text1"/>
          <w:lang w:eastAsia="en-GB"/>
        </w:rPr>
        <w:t>a court will be able to refuse to impose a minimum 6-month term of imprisonment if the offender has impaired mental functioning that reduces the offender’s culpability.</w:t>
      </w:r>
      <w:r w:rsidR="00FB2E17">
        <w:rPr>
          <w:rFonts w:ascii="Cambria" w:eastAsia="Times New Roman" w:hAnsi="Cambria" w:cs="Times New Roman"/>
          <w:color w:val="000000" w:themeColor="text1"/>
          <w:lang w:eastAsia="en-GB"/>
        </w:rPr>
        <w:t xml:space="preserve"> </w:t>
      </w:r>
    </w:p>
    <w:p w14:paraId="33EA2CC8" w14:textId="77777777" w:rsidR="00B57346" w:rsidRDefault="00B57346" w:rsidP="003865A4">
      <w:pPr>
        <w:ind w:right="-205"/>
        <w:jc w:val="both"/>
        <w:outlineLvl w:val="0"/>
        <w:rPr>
          <w:color w:val="FF0000"/>
        </w:rPr>
      </w:pPr>
    </w:p>
    <w:p w14:paraId="4BA8A47C" w14:textId="6B6BBF95" w:rsidR="00BE7212" w:rsidRPr="00000B1D" w:rsidRDefault="00BE7212" w:rsidP="00000B1D">
      <w:pPr>
        <w:pStyle w:val="ListParagraph"/>
        <w:numPr>
          <w:ilvl w:val="0"/>
          <w:numId w:val="12"/>
        </w:numPr>
        <w:ind w:right="-205"/>
        <w:jc w:val="both"/>
        <w:outlineLvl w:val="0"/>
        <w:rPr>
          <w:rFonts w:ascii="Cambria" w:eastAsia="Times New Roman" w:hAnsi="Cambria" w:cs="Times New Roman"/>
          <w:b/>
          <w:bCs/>
          <w:i/>
          <w:iCs/>
          <w:color w:val="000000" w:themeColor="text1"/>
          <w:lang w:eastAsia="en-GB"/>
        </w:rPr>
      </w:pPr>
      <w:r w:rsidRPr="00000B1D">
        <w:rPr>
          <w:rFonts w:ascii="Cambria" w:eastAsia="Times New Roman" w:hAnsi="Cambria" w:cs="Times New Roman"/>
          <w:b/>
          <w:bCs/>
          <w:i/>
          <w:iCs/>
          <w:color w:val="000000" w:themeColor="text1"/>
          <w:lang w:eastAsia="en-GB"/>
        </w:rPr>
        <w:t>Unjust</w:t>
      </w:r>
    </w:p>
    <w:p w14:paraId="1FBAFEEB" w14:textId="2F6024C0" w:rsidR="00BE7212" w:rsidRDefault="00BE7212" w:rsidP="00BE7212">
      <w:pPr>
        <w:ind w:right="-205"/>
        <w:jc w:val="both"/>
        <w:outlineLvl w:val="0"/>
        <w:rPr>
          <w:rFonts w:ascii="Cambria" w:eastAsia="Times New Roman" w:hAnsi="Cambria" w:cs="Times New Roman"/>
          <w:color w:val="000000" w:themeColor="text1"/>
          <w:lang w:eastAsia="en-GB"/>
        </w:rPr>
      </w:pPr>
      <w:r>
        <w:rPr>
          <w:rFonts w:ascii="Cambria" w:eastAsia="Times New Roman" w:hAnsi="Cambria" w:cs="Times New Roman"/>
          <w:color w:val="000000" w:themeColor="text1"/>
          <w:lang w:eastAsia="en-GB"/>
        </w:rPr>
        <w:t xml:space="preserve">As well as excluding persons with impaired mental functioning, the Bill will also allow a court to refuse to impose a minimum 6-month term of imprisonment if the sentence would be “unjust”. In the </w:t>
      </w:r>
      <w:r w:rsidRPr="00D6619A">
        <w:rPr>
          <w:rFonts w:ascii="Cambria" w:eastAsia="Times New Roman" w:hAnsi="Cambria" w:cs="Times New Roman"/>
          <w:i/>
          <w:iCs/>
          <w:color w:val="000000" w:themeColor="text1"/>
          <w:lang w:eastAsia="en-GB"/>
        </w:rPr>
        <w:t>Sentencing Act 1997</w:t>
      </w:r>
      <w:r>
        <w:rPr>
          <w:rFonts w:ascii="Cambria" w:eastAsia="Times New Roman" w:hAnsi="Cambria" w:cs="Times New Roman"/>
          <w:color w:val="000000" w:themeColor="text1"/>
          <w:lang w:eastAsia="en-GB"/>
        </w:rPr>
        <w:t xml:space="preserve"> (Tas), “unjust” is currently used in only one context, namely where a sentencing judge is required to consider activating a term of imprisonment where an offender has been found guilty of breaching a suspended sentence.</w:t>
      </w:r>
      <w:r>
        <w:rPr>
          <w:rStyle w:val="FootnoteReference"/>
          <w:rFonts w:ascii="Cambria" w:eastAsia="Times New Roman" w:hAnsi="Cambria" w:cs="Times New Roman"/>
          <w:color w:val="000000" w:themeColor="text1"/>
          <w:lang w:eastAsia="en-GB"/>
        </w:rPr>
        <w:footnoteReference w:id="21"/>
      </w:r>
      <w:r>
        <w:rPr>
          <w:rFonts w:ascii="Cambria" w:eastAsia="Times New Roman" w:hAnsi="Cambria" w:cs="Times New Roman"/>
          <w:color w:val="000000" w:themeColor="text1"/>
          <w:lang w:eastAsia="en-GB"/>
        </w:rPr>
        <w:t xml:space="preserve"> In the case of </w:t>
      </w:r>
      <w:r w:rsidRPr="00D6619A">
        <w:rPr>
          <w:rFonts w:ascii="Cambria" w:eastAsia="Times New Roman" w:hAnsi="Cambria" w:cs="Times New Roman"/>
          <w:i/>
          <w:iCs/>
          <w:color w:val="000000" w:themeColor="text1"/>
          <w:lang w:eastAsia="en-GB"/>
        </w:rPr>
        <w:t>Tanner v Brown</w:t>
      </w:r>
      <w:r>
        <w:rPr>
          <w:rFonts w:ascii="Cambria" w:eastAsia="Times New Roman" w:hAnsi="Cambria" w:cs="Times New Roman"/>
          <w:color w:val="000000" w:themeColor="text1"/>
          <w:lang w:eastAsia="en-GB"/>
        </w:rPr>
        <w:t>,</w:t>
      </w:r>
      <w:r>
        <w:rPr>
          <w:rStyle w:val="FootnoteReference"/>
          <w:rFonts w:ascii="Cambria" w:eastAsia="Times New Roman" w:hAnsi="Cambria" w:cs="Times New Roman"/>
          <w:color w:val="000000" w:themeColor="text1"/>
          <w:lang w:eastAsia="en-GB"/>
        </w:rPr>
        <w:footnoteReference w:id="22"/>
      </w:r>
      <w:r>
        <w:rPr>
          <w:rFonts w:ascii="Cambria" w:eastAsia="Times New Roman" w:hAnsi="Cambria" w:cs="Times New Roman"/>
          <w:color w:val="000000" w:themeColor="text1"/>
          <w:lang w:eastAsia="en-GB"/>
        </w:rPr>
        <w:t xml:space="preserve"> Wood J found that the circumstances giving rise to an unjust sentence of imprisonment would be </w:t>
      </w:r>
      <w:r>
        <w:rPr>
          <w:rFonts w:ascii="Cambria" w:eastAsia="Times New Roman" w:hAnsi="Cambria" w:cs="Times New Roman"/>
          <w:color w:val="000000" w:themeColor="text1"/>
          <w:lang w:eastAsia="en-GB"/>
        </w:rPr>
        <w:lastRenderedPageBreak/>
        <w:t>different in each case as would the court’s assessment of the weight to be given to those circumstances:</w:t>
      </w:r>
      <w:r>
        <w:rPr>
          <w:rStyle w:val="FootnoteReference"/>
          <w:rFonts w:ascii="Cambria" w:eastAsia="Times New Roman" w:hAnsi="Cambria" w:cs="Times New Roman"/>
          <w:color w:val="000000" w:themeColor="text1"/>
          <w:lang w:eastAsia="en-GB"/>
        </w:rPr>
        <w:footnoteReference w:id="23"/>
      </w:r>
      <w:r>
        <w:rPr>
          <w:rFonts w:ascii="Cambria" w:eastAsia="Times New Roman" w:hAnsi="Cambria" w:cs="Times New Roman"/>
          <w:color w:val="000000" w:themeColor="text1"/>
          <w:lang w:eastAsia="en-GB"/>
        </w:rPr>
        <w:t xml:space="preserve">    </w:t>
      </w:r>
    </w:p>
    <w:p w14:paraId="63D236FD" w14:textId="77777777" w:rsidR="00BE7212" w:rsidRDefault="00BE7212" w:rsidP="00BE7212">
      <w:pPr>
        <w:ind w:right="-205"/>
        <w:jc w:val="both"/>
        <w:outlineLvl w:val="0"/>
        <w:rPr>
          <w:rFonts w:ascii="Cambria" w:eastAsia="Times New Roman" w:hAnsi="Cambria" w:cs="Times New Roman"/>
          <w:color w:val="000000" w:themeColor="text1"/>
          <w:lang w:eastAsia="en-GB"/>
        </w:rPr>
      </w:pPr>
    </w:p>
    <w:p w14:paraId="12947BE7" w14:textId="77777777" w:rsidR="00BE7212" w:rsidRPr="00156AEE" w:rsidRDefault="00BE7212" w:rsidP="00BE7212">
      <w:pPr>
        <w:ind w:left="720" w:right="-205"/>
        <w:jc w:val="both"/>
        <w:outlineLvl w:val="0"/>
        <w:rPr>
          <w:i/>
          <w:iCs/>
          <w:color w:val="000000" w:themeColor="text1"/>
          <w:sz w:val="22"/>
          <w:szCs w:val="22"/>
          <w:shd w:val="clear" w:color="auto" w:fill="FFFFFF"/>
        </w:rPr>
      </w:pPr>
      <w:r w:rsidRPr="00156AEE">
        <w:rPr>
          <w:i/>
          <w:iCs/>
          <w:color w:val="000000" w:themeColor="text1"/>
          <w:sz w:val="22"/>
          <w:szCs w:val="22"/>
          <w:shd w:val="clear" w:color="auto" w:fill="FFFFFF"/>
        </w:rPr>
        <w:t xml:space="preserve">Ultimately, the question of whether it would be unjust to activate a suspended sentence will depend on an evaluation of the individual circumstances of each case. In assessing this question of whether it would be unjust to activate the sentence "the objective of the suspended sentence option as reformative as well as penal" is to be borne in mind. Thus, relevant factors may include those that indicate the progress made by an offender in relation to his rehabilitation. </w:t>
      </w:r>
    </w:p>
    <w:p w14:paraId="65620749" w14:textId="77777777" w:rsidR="00BE7212" w:rsidRPr="00156AEE" w:rsidRDefault="00BE7212" w:rsidP="00BE7212">
      <w:pPr>
        <w:ind w:left="720" w:right="-205"/>
        <w:jc w:val="both"/>
        <w:outlineLvl w:val="0"/>
        <w:rPr>
          <w:i/>
          <w:iCs/>
          <w:color w:val="000000" w:themeColor="text1"/>
          <w:sz w:val="22"/>
          <w:szCs w:val="22"/>
          <w:shd w:val="clear" w:color="auto" w:fill="FFFFFF"/>
        </w:rPr>
      </w:pPr>
    </w:p>
    <w:p w14:paraId="7CBE6876" w14:textId="77777777" w:rsidR="00BE7212" w:rsidRPr="00156AEE" w:rsidRDefault="00BE7212" w:rsidP="00BE7212">
      <w:pPr>
        <w:ind w:left="720" w:right="-205"/>
        <w:jc w:val="both"/>
        <w:outlineLvl w:val="0"/>
        <w:rPr>
          <w:i/>
          <w:iCs/>
          <w:color w:val="000000" w:themeColor="text1"/>
          <w:sz w:val="22"/>
          <w:szCs w:val="22"/>
          <w:shd w:val="clear" w:color="auto" w:fill="FFFFFF"/>
        </w:rPr>
      </w:pPr>
      <w:r w:rsidRPr="00156AEE">
        <w:rPr>
          <w:i/>
          <w:iCs/>
          <w:color w:val="000000" w:themeColor="text1"/>
          <w:sz w:val="22"/>
          <w:szCs w:val="22"/>
          <w:shd w:val="clear" w:color="auto" w:fill="FFFFFF"/>
        </w:rPr>
        <w:t>…</w:t>
      </w:r>
    </w:p>
    <w:p w14:paraId="2FBA7B1E" w14:textId="77777777" w:rsidR="00BE7212" w:rsidRPr="00156AEE" w:rsidRDefault="00BE7212" w:rsidP="00BE7212">
      <w:pPr>
        <w:ind w:left="720" w:right="-205"/>
        <w:jc w:val="both"/>
        <w:outlineLvl w:val="0"/>
        <w:rPr>
          <w:i/>
          <w:iCs/>
          <w:color w:val="000000" w:themeColor="text1"/>
          <w:sz w:val="22"/>
          <w:szCs w:val="22"/>
          <w:shd w:val="clear" w:color="auto" w:fill="FFFFFF"/>
        </w:rPr>
      </w:pPr>
    </w:p>
    <w:p w14:paraId="2011F84E" w14:textId="439A2370" w:rsidR="00BE7212" w:rsidRPr="00CD369F" w:rsidRDefault="00BE7212" w:rsidP="00BE7212">
      <w:pPr>
        <w:ind w:left="720" w:right="-205"/>
        <w:jc w:val="both"/>
        <w:outlineLvl w:val="0"/>
        <w:rPr>
          <w:rFonts w:eastAsia="Times New Roman" w:cs="Times New Roman"/>
          <w:i/>
          <w:iCs/>
          <w:color w:val="000000" w:themeColor="text1"/>
          <w:sz w:val="22"/>
          <w:szCs w:val="22"/>
          <w:lang w:eastAsia="en-GB"/>
        </w:rPr>
      </w:pPr>
      <w:r w:rsidRPr="00156AEE">
        <w:rPr>
          <w:i/>
          <w:iCs/>
          <w:color w:val="000000" w:themeColor="text1"/>
          <w:sz w:val="22"/>
          <w:szCs w:val="22"/>
          <w:shd w:val="clear" w:color="auto" w:fill="FFFFFF"/>
        </w:rPr>
        <w:t xml:space="preserve">It must be </w:t>
      </w:r>
      <w:proofErr w:type="spellStart"/>
      <w:r w:rsidRPr="00156AEE">
        <w:rPr>
          <w:i/>
          <w:iCs/>
          <w:color w:val="000000" w:themeColor="text1"/>
          <w:sz w:val="22"/>
          <w:szCs w:val="22"/>
          <w:shd w:val="clear" w:color="auto" w:fill="FFFFFF"/>
        </w:rPr>
        <w:t>emphasised</w:t>
      </w:r>
      <w:proofErr w:type="spellEnd"/>
      <w:r w:rsidRPr="00156AEE">
        <w:rPr>
          <w:i/>
          <w:iCs/>
          <w:color w:val="000000" w:themeColor="text1"/>
          <w:sz w:val="22"/>
          <w:szCs w:val="22"/>
          <w:shd w:val="clear" w:color="auto" w:fill="FFFFFF"/>
        </w:rPr>
        <w:t xml:space="preserve"> that the weight to be given to factors that weigh in an offender's </w:t>
      </w:r>
      <w:proofErr w:type="spellStart"/>
      <w:r w:rsidRPr="00156AEE">
        <w:rPr>
          <w:i/>
          <w:iCs/>
          <w:color w:val="000000" w:themeColor="text1"/>
          <w:sz w:val="22"/>
          <w:szCs w:val="22"/>
          <w:shd w:val="clear" w:color="auto" w:fill="FFFFFF"/>
        </w:rPr>
        <w:t>favour</w:t>
      </w:r>
      <w:proofErr w:type="spellEnd"/>
      <w:r w:rsidRPr="00156AEE">
        <w:rPr>
          <w:i/>
          <w:iCs/>
          <w:color w:val="000000" w:themeColor="text1"/>
          <w:sz w:val="22"/>
          <w:szCs w:val="22"/>
          <w:shd w:val="clear" w:color="auto" w:fill="FFFFFF"/>
        </w:rPr>
        <w:t xml:space="preserve"> such as considerations indicative of an individual's reform will vary from case to case depending upon the circumstances. As noted by </w:t>
      </w:r>
      <w:proofErr w:type="spellStart"/>
      <w:r w:rsidRPr="00156AEE">
        <w:rPr>
          <w:i/>
          <w:iCs/>
          <w:color w:val="000000" w:themeColor="text1"/>
          <w:sz w:val="22"/>
          <w:szCs w:val="22"/>
          <w:shd w:val="clear" w:color="auto" w:fill="FFFFFF"/>
        </w:rPr>
        <w:t>Neasey</w:t>
      </w:r>
      <w:proofErr w:type="spellEnd"/>
      <w:r w:rsidRPr="00156AEE">
        <w:rPr>
          <w:i/>
          <w:iCs/>
          <w:color w:val="000000" w:themeColor="text1"/>
          <w:sz w:val="22"/>
          <w:szCs w:val="22"/>
          <w:shd w:val="clear" w:color="auto" w:fill="FFFFFF"/>
        </w:rPr>
        <w:t xml:space="preserve"> J in Greaves v Smith the "matters that need to be weighed when breach of suspended sentence has been proved require a careful exercise of judgment".</w:t>
      </w:r>
      <w:r w:rsidR="00EF761B">
        <w:rPr>
          <w:i/>
          <w:iCs/>
          <w:color w:val="000000" w:themeColor="text1"/>
          <w:sz w:val="22"/>
          <w:szCs w:val="22"/>
          <w:shd w:val="clear" w:color="auto" w:fill="FFFFFF"/>
        </w:rPr>
        <w:t xml:space="preserve"> </w:t>
      </w:r>
      <w:r w:rsidRPr="00156AEE">
        <w:rPr>
          <w:i/>
          <w:iCs/>
          <w:color w:val="000000" w:themeColor="text1"/>
          <w:sz w:val="22"/>
          <w:szCs w:val="22"/>
          <w:shd w:val="clear" w:color="auto" w:fill="FFFFFF"/>
        </w:rPr>
        <w:t>Even if a consideration is deserving of significant weight does not mean that it will be determinative. The penal nature of the suspended sentence must be given weight, ordinarily a suspended sentence is meant to operate as a last chance and there are sound reasons in principle for activating the sanction in the event the person breaches it. As stated by Callaway JA in DPP v Newman, at 718, it is a case of balancing the factors to which King CJ referred (which are set out in the passages quoted above) against the circumstances of the individual offender and the court's desire, as in all cases, not to take a more severe course than is warranted by all the relevant considerations, including the public interest. It is necessary to keep foremost in mind the statutory imperative that the sentence be activated unless that consequence would be unjust.</w:t>
      </w:r>
      <w:r w:rsidR="00EF761B">
        <w:rPr>
          <w:i/>
          <w:iCs/>
          <w:color w:val="000000" w:themeColor="text1"/>
          <w:sz w:val="22"/>
          <w:szCs w:val="22"/>
          <w:shd w:val="clear" w:color="auto" w:fill="FFFFFF"/>
        </w:rPr>
        <w:t xml:space="preserve"> [citations removed] </w:t>
      </w:r>
      <w:r w:rsidRPr="00156AEE">
        <w:rPr>
          <w:rFonts w:eastAsia="Times New Roman" w:cs="Times New Roman"/>
          <w:i/>
          <w:iCs/>
          <w:color w:val="000000" w:themeColor="text1"/>
          <w:sz w:val="22"/>
          <w:szCs w:val="22"/>
          <w:lang w:eastAsia="en-GB"/>
        </w:rPr>
        <w:t xml:space="preserve">   </w:t>
      </w:r>
    </w:p>
    <w:p w14:paraId="4C6C75F8" w14:textId="77777777" w:rsidR="0094264B" w:rsidRDefault="0094264B" w:rsidP="002178C4">
      <w:pPr>
        <w:ind w:right="-52"/>
        <w:jc w:val="both"/>
      </w:pPr>
    </w:p>
    <w:p w14:paraId="741816D0" w14:textId="40716859" w:rsidR="00000B1D" w:rsidRPr="00000B1D" w:rsidRDefault="00000B1D" w:rsidP="002178C4">
      <w:pPr>
        <w:ind w:right="-52"/>
        <w:jc w:val="both"/>
        <w:rPr>
          <w:b/>
          <w:bCs/>
        </w:rPr>
      </w:pPr>
      <w:r w:rsidRPr="00000B1D">
        <w:rPr>
          <w:b/>
          <w:bCs/>
        </w:rPr>
        <w:t>RECOMMENDATIONS</w:t>
      </w:r>
    </w:p>
    <w:p w14:paraId="149C94C9" w14:textId="4B311955" w:rsidR="0094264B" w:rsidRPr="00000B1D" w:rsidRDefault="00000B1D" w:rsidP="00000B1D">
      <w:pPr>
        <w:pStyle w:val="ListParagraph"/>
        <w:numPr>
          <w:ilvl w:val="0"/>
          <w:numId w:val="12"/>
        </w:numPr>
        <w:ind w:right="-52"/>
        <w:jc w:val="both"/>
        <w:rPr>
          <w:b/>
          <w:bCs/>
          <w:i/>
          <w:iCs/>
          <w:color w:val="000000" w:themeColor="text1"/>
        </w:rPr>
      </w:pPr>
      <w:r w:rsidRPr="00000B1D">
        <w:rPr>
          <w:b/>
          <w:bCs/>
          <w:i/>
          <w:iCs/>
          <w:color w:val="000000" w:themeColor="text1"/>
        </w:rPr>
        <w:t>Limit to those working in emergency services</w:t>
      </w:r>
    </w:p>
    <w:p w14:paraId="45339DDB" w14:textId="0FAF2F81" w:rsidR="00CD5A70" w:rsidRDefault="00CD5A70" w:rsidP="00CD5A70">
      <w:pPr>
        <w:ind w:right="-52"/>
        <w:jc w:val="both"/>
      </w:pPr>
      <w:r w:rsidRPr="00CD5A70">
        <w:rPr>
          <w:color w:val="000000" w:themeColor="text1"/>
        </w:rPr>
        <w:t xml:space="preserve">As the Bill is currently drafted, the minimum 6-month </w:t>
      </w:r>
      <w:r>
        <w:rPr>
          <w:color w:val="000000" w:themeColor="text1"/>
        </w:rPr>
        <w:t xml:space="preserve">term of </w:t>
      </w:r>
      <w:r w:rsidRPr="00CD5A70">
        <w:rPr>
          <w:color w:val="000000" w:themeColor="text1"/>
        </w:rPr>
        <w:t xml:space="preserve">imprisonment will be imposed against persons who assault </w:t>
      </w:r>
      <w:r>
        <w:rPr>
          <w:color w:val="000000" w:themeColor="text1"/>
        </w:rPr>
        <w:t>a</w:t>
      </w:r>
      <w:r w:rsidR="00000B1D">
        <w:rPr>
          <w:color w:val="000000" w:themeColor="text1"/>
        </w:rPr>
        <w:t xml:space="preserve">n </w:t>
      </w:r>
      <w:r w:rsidRPr="00CD5A70">
        <w:t>‘emergency services officer’</w:t>
      </w:r>
      <w:r>
        <w:t xml:space="preserve"> or</w:t>
      </w:r>
      <w:r w:rsidRPr="00CD5A70">
        <w:t xml:space="preserve"> a ‘frontline worker’. </w:t>
      </w:r>
    </w:p>
    <w:p w14:paraId="543FAD57" w14:textId="77777777" w:rsidR="00CD5A70" w:rsidRDefault="00CD5A70" w:rsidP="00CD5A70">
      <w:pPr>
        <w:ind w:right="-52"/>
        <w:jc w:val="both"/>
      </w:pPr>
    </w:p>
    <w:p w14:paraId="2E08F419" w14:textId="597FC489" w:rsidR="00CD5A70" w:rsidRPr="00CD5A70" w:rsidRDefault="00CD5A70" w:rsidP="00CD5A70">
      <w:pPr>
        <w:ind w:right="-52"/>
        <w:jc w:val="both"/>
      </w:pPr>
      <w:r>
        <w:rPr>
          <w:rFonts w:cs="Arial"/>
          <w:color w:val="000000"/>
        </w:rPr>
        <w:t xml:space="preserve">Assaults against police officers and other emergency workers are specific offences in every Australian State and Territory. Although some Australian jurisdictions use the nomenclature ‘frontline workers’, the definition of a frontline worker is </w:t>
      </w:r>
      <w:r w:rsidR="001804DF">
        <w:rPr>
          <w:rFonts w:cs="Arial"/>
          <w:color w:val="000000"/>
        </w:rPr>
        <w:t xml:space="preserve">generally </w:t>
      </w:r>
      <w:r>
        <w:rPr>
          <w:rFonts w:cs="Arial"/>
          <w:color w:val="000000"/>
        </w:rPr>
        <w:t xml:space="preserve">limited to persons working or volunteering for </w:t>
      </w:r>
      <w:proofErr w:type="spellStart"/>
      <w:r w:rsidR="001804DF">
        <w:rPr>
          <w:rFonts w:cs="Arial"/>
          <w:color w:val="000000"/>
        </w:rPr>
        <w:t>organisations</w:t>
      </w:r>
      <w:proofErr w:type="spellEnd"/>
      <w:r w:rsidR="001804DF">
        <w:rPr>
          <w:rFonts w:cs="Arial"/>
          <w:color w:val="000000"/>
        </w:rPr>
        <w:t xml:space="preserve"> providing emergency services such as </w:t>
      </w:r>
      <w:r>
        <w:rPr>
          <w:rFonts w:cs="Arial"/>
          <w:color w:val="000000"/>
        </w:rPr>
        <w:t>the Fire Brigade or the Ambulance Service</w:t>
      </w:r>
      <w:r w:rsidR="00047677">
        <w:rPr>
          <w:rFonts w:cs="Arial"/>
          <w:color w:val="000000"/>
        </w:rPr>
        <w:t>, as Table 1 highlights</w:t>
      </w:r>
      <w:r>
        <w:rPr>
          <w:rFonts w:cs="Arial"/>
          <w:color w:val="000000"/>
        </w:rPr>
        <w:t xml:space="preserve">. </w:t>
      </w:r>
    </w:p>
    <w:p w14:paraId="55123BFB" w14:textId="77777777" w:rsidR="0094264B" w:rsidRDefault="0094264B" w:rsidP="002178C4">
      <w:pPr>
        <w:ind w:right="-52"/>
        <w:jc w:val="both"/>
      </w:pPr>
    </w:p>
    <w:p w14:paraId="75FA5A42" w14:textId="77777777" w:rsidR="00066F5B" w:rsidRDefault="00066F5B" w:rsidP="0094264B">
      <w:pPr>
        <w:ind w:right="-205"/>
        <w:jc w:val="center"/>
        <w:outlineLvl w:val="0"/>
        <w:rPr>
          <w:b/>
          <w:bCs/>
          <w:color w:val="000000" w:themeColor="text1"/>
        </w:rPr>
      </w:pPr>
    </w:p>
    <w:p w14:paraId="709BDE5B" w14:textId="77777777" w:rsidR="00066F5B" w:rsidRDefault="00066F5B" w:rsidP="0094264B">
      <w:pPr>
        <w:ind w:right="-205"/>
        <w:jc w:val="center"/>
        <w:outlineLvl w:val="0"/>
        <w:rPr>
          <w:b/>
          <w:bCs/>
          <w:color w:val="000000" w:themeColor="text1"/>
        </w:rPr>
      </w:pPr>
    </w:p>
    <w:p w14:paraId="071802D9" w14:textId="77777777" w:rsidR="00066F5B" w:rsidRDefault="00066F5B" w:rsidP="0094264B">
      <w:pPr>
        <w:ind w:right="-205"/>
        <w:jc w:val="center"/>
        <w:outlineLvl w:val="0"/>
        <w:rPr>
          <w:b/>
          <w:bCs/>
          <w:color w:val="000000" w:themeColor="text1"/>
        </w:rPr>
      </w:pPr>
    </w:p>
    <w:p w14:paraId="78B6C30D" w14:textId="77777777" w:rsidR="00066F5B" w:rsidRDefault="00066F5B" w:rsidP="0094264B">
      <w:pPr>
        <w:ind w:right="-205"/>
        <w:jc w:val="center"/>
        <w:outlineLvl w:val="0"/>
        <w:rPr>
          <w:b/>
          <w:bCs/>
          <w:color w:val="000000" w:themeColor="text1"/>
        </w:rPr>
      </w:pPr>
    </w:p>
    <w:p w14:paraId="591D44FC" w14:textId="77777777" w:rsidR="00066F5B" w:rsidRDefault="00066F5B" w:rsidP="0094264B">
      <w:pPr>
        <w:ind w:right="-205"/>
        <w:jc w:val="center"/>
        <w:outlineLvl w:val="0"/>
        <w:rPr>
          <w:b/>
          <w:bCs/>
          <w:color w:val="000000" w:themeColor="text1"/>
        </w:rPr>
      </w:pPr>
    </w:p>
    <w:p w14:paraId="51B59536" w14:textId="77777777" w:rsidR="00066F5B" w:rsidRDefault="00066F5B" w:rsidP="0094264B">
      <w:pPr>
        <w:ind w:right="-205"/>
        <w:jc w:val="center"/>
        <w:outlineLvl w:val="0"/>
        <w:rPr>
          <w:b/>
          <w:bCs/>
          <w:color w:val="000000" w:themeColor="text1"/>
        </w:rPr>
      </w:pPr>
    </w:p>
    <w:p w14:paraId="6E7C2833" w14:textId="77777777" w:rsidR="001D4D2C" w:rsidRDefault="001D4D2C" w:rsidP="0094264B">
      <w:pPr>
        <w:ind w:right="-205"/>
        <w:jc w:val="center"/>
        <w:outlineLvl w:val="0"/>
        <w:rPr>
          <w:b/>
          <w:bCs/>
          <w:color w:val="000000" w:themeColor="text1"/>
          <w:sz w:val="22"/>
          <w:szCs w:val="22"/>
        </w:rPr>
      </w:pPr>
    </w:p>
    <w:p w14:paraId="69EF409A" w14:textId="1745DEAC" w:rsidR="0094264B" w:rsidRPr="001D4D2C" w:rsidRDefault="00047677" w:rsidP="0094264B">
      <w:pPr>
        <w:ind w:right="-205"/>
        <w:jc w:val="center"/>
        <w:outlineLvl w:val="0"/>
        <w:rPr>
          <w:b/>
          <w:bCs/>
          <w:color w:val="000000" w:themeColor="text1"/>
          <w:sz w:val="22"/>
          <w:szCs w:val="22"/>
        </w:rPr>
      </w:pPr>
      <w:r w:rsidRPr="001D4D2C">
        <w:rPr>
          <w:b/>
          <w:bCs/>
          <w:color w:val="000000" w:themeColor="text1"/>
          <w:sz w:val="22"/>
          <w:szCs w:val="22"/>
        </w:rPr>
        <w:lastRenderedPageBreak/>
        <w:t xml:space="preserve">Table 1: </w:t>
      </w:r>
      <w:r w:rsidR="0094264B" w:rsidRPr="001D4D2C">
        <w:rPr>
          <w:b/>
          <w:bCs/>
          <w:color w:val="000000" w:themeColor="text1"/>
          <w:sz w:val="22"/>
          <w:szCs w:val="22"/>
        </w:rPr>
        <w:t>Assaulting a Police Officer or other Emergency Worker in Australian Jurisdictions</w:t>
      </w:r>
    </w:p>
    <w:tbl>
      <w:tblPr>
        <w:tblStyle w:val="TableGrid"/>
        <w:tblW w:w="9356" w:type="dxa"/>
        <w:tblInd w:w="-5" w:type="dxa"/>
        <w:tblLook w:val="04A0" w:firstRow="1" w:lastRow="0" w:firstColumn="1" w:lastColumn="0" w:noHBand="0" w:noVBand="1"/>
      </w:tblPr>
      <w:tblGrid>
        <w:gridCol w:w="1460"/>
        <w:gridCol w:w="3682"/>
        <w:gridCol w:w="4214"/>
      </w:tblGrid>
      <w:tr w:rsidR="0094264B" w14:paraId="6B6233FD" w14:textId="77777777" w:rsidTr="00047677">
        <w:tc>
          <w:tcPr>
            <w:tcW w:w="1134" w:type="dxa"/>
          </w:tcPr>
          <w:p w14:paraId="1A8E5580" w14:textId="77777777" w:rsidR="0094264B" w:rsidRPr="00066F5B" w:rsidRDefault="0094264B" w:rsidP="00FF3A90">
            <w:pPr>
              <w:ind w:right="-205"/>
              <w:outlineLvl w:val="0"/>
              <w:rPr>
                <w:b/>
                <w:bCs/>
                <w:color w:val="000000" w:themeColor="text1"/>
                <w:sz w:val="23"/>
                <w:szCs w:val="23"/>
              </w:rPr>
            </w:pPr>
            <w:r w:rsidRPr="00066F5B">
              <w:rPr>
                <w:b/>
                <w:bCs/>
                <w:color w:val="000000" w:themeColor="text1"/>
                <w:sz w:val="23"/>
                <w:szCs w:val="23"/>
              </w:rPr>
              <w:t>Jurisdiction</w:t>
            </w:r>
          </w:p>
        </w:tc>
        <w:tc>
          <w:tcPr>
            <w:tcW w:w="3828" w:type="dxa"/>
          </w:tcPr>
          <w:p w14:paraId="6172C526" w14:textId="77777777" w:rsidR="0094264B" w:rsidRPr="00066F5B" w:rsidRDefault="0094264B" w:rsidP="00FF3A90">
            <w:pPr>
              <w:ind w:right="-205"/>
              <w:outlineLvl w:val="0"/>
              <w:rPr>
                <w:b/>
                <w:bCs/>
                <w:color w:val="000000" w:themeColor="text1"/>
                <w:sz w:val="23"/>
                <w:szCs w:val="23"/>
              </w:rPr>
            </w:pPr>
            <w:r w:rsidRPr="00066F5B">
              <w:rPr>
                <w:b/>
                <w:bCs/>
                <w:color w:val="000000" w:themeColor="text1"/>
                <w:sz w:val="23"/>
                <w:szCs w:val="23"/>
              </w:rPr>
              <w:t>Specific Provision</w:t>
            </w:r>
          </w:p>
        </w:tc>
        <w:tc>
          <w:tcPr>
            <w:tcW w:w="4394" w:type="dxa"/>
          </w:tcPr>
          <w:p w14:paraId="0B021EBF" w14:textId="77777777" w:rsidR="0094264B" w:rsidRPr="00066F5B" w:rsidRDefault="0094264B" w:rsidP="00FF3A90">
            <w:pPr>
              <w:ind w:right="-205"/>
              <w:outlineLvl w:val="0"/>
              <w:rPr>
                <w:b/>
                <w:bCs/>
                <w:color w:val="000000" w:themeColor="text1"/>
                <w:sz w:val="23"/>
                <w:szCs w:val="23"/>
              </w:rPr>
            </w:pPr>
            <w:r w:rsidRPr="00066F5B">
              <w:rPr>
                <w:b/>
                <w:bCs/>
                <w:color w:val="000000" w:themeColor="text1"/>
                <w:sz w:val="23"/>
                <w:szCs w:val="23"/>
              </w:rPr>
              <w:t>Definition</w:t>
            </w:r>
          </w:p>
        </w:tc>
      </w:tr>
      <w:tr w:rsidR="0094264B" w:rsidRPr="001D4D2C" w14:paraId="2A1E66B6" w14:textId="77777777" w:rsidTr="00047677">
        <w:tc>
          <w:tcPr>
            <w:tcW w:w="1134" w:type="dxa"/>
          </w:tcPr>
          <w:p w14:paraId="3171705D" w14:textId="77777777" w:rsidR="0094264B" w:rsidRPr="001D4D2C" w:rsidRDefault="0094264B" w:rsidP="00FF3A90">
            <w:pPr>
              <w:ind w:right="-205"/>
              <w:jc w:val="both"/>
              <w:outlineLvl w:val="0"/>
              <w:rPr>
                <w:color w:val="000000" w:themeColor="text1"/>
                <w:sz w:val="20"/>
                <w:szCs w:val="20"/>
              </w:rPr>
            </w:pPr>
            <w:r w:rsidRPr="001D4D2C">
              <w:rPr>
                <w:color w:val="000000" w:themeColor="text1"/>
                <w:sz w:val="20"/>
                <w:szCs w:val="20"/>
              </w:rPr>
              <w:t>ACT</w:t>
            </w:r>
          </w:p>
        </w:tc>
        <w:tc>
          <w:tcPr>
            <w:tcW w:w="3828" w:type="dxa"/>
          </w:tcPr>
          <w:p w14:paraId="67F07893" w14:textId="77777777" w:rsidR="0094264B" w:rsidRPr="001D4D2C" w:rsidRDefault="0094264B" w:rsidP="00FF3A90">
            <w:pPr>
              <w:ind w:right="-205"/>
              <w:outlineLvl w:val="0"/>
              <w:rPr>
                <w:i/>
                <w:iCs/>
                <w:color w:val="000000" w:themeColor="text1"/>
                <w:sz w:val="20"/>
                <w:szCs w:val="20"/>
              </w:rPr>
            </w:pPr>
            <w:r w:rsidRPr="001D4D2C">
              <w:rPr>
                <w:color w:val="000000" w:themeColor="text1"/>
                <w:sz w:val="20"/>
                <w:szCs w:val="20"/>
              </w:rPr>
              <w:t xml:space="preserve">Section 26A of the </w:t>
            </w:r>
            <w:r w:rsidRPr="001D4D2C">
              <w:rPr>
                <w:i/>
                <w:iCs/>
                <w:color w:val="000000" w:themeColor="text1"/>
                <w:sz w:val="20"/>
                <w:szCs w:val="20"/>
              </w:rPr>
              <w:t>Crimes Act 1900</w:t>
            </w:r>
          </w:p>
          <w:p w14:paraId="0F4E829C" w14:textId="77777777" w:rsidR="0094264B" w:rsidRPr="001D4D2C" w:rsidRDefault="0094264B" w:rsidP="00FF3A90">
            <w:pPr>
              <w:ind w:right="-205"/>
              <w:outlineLvl w:val="0"/>
              <w:rPr>
                <w:color w:val="000000" w:themeColor="text1"/>
                <w:sz w:val="20"/>
                <w:szCs w:val="20"/>
              </w:rPr>
            </w:pPr>
          </w:p>
          <w:p w14:paraId="51F56107"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 xml:space="preserve">“frontline community service provider” </w:t>
            </w:r>
          </w:p>
        </w:tc>
        <w:tc>
          <w:tcPr>
            <w:tcW w:w="4394" w:type="dxa"/>
          </w:tcPr>
          <w:p w14:paraId="4D9838E3"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 xml:space="preserve">Police Officer, protective service officer, corrections worker, members of the </w:t>
            </w:r>
          </w:p>
          <w:p w14:paraId="05766572" w14:textId="3B72A747" w:rsidR="0094264B" w:rsidRPr="001D4D2C" w:rsidRDefault="0094264B" w:rsidP="00FF3A90">
            <w:pPr>
              <w:ind w:right="-205"/>
              <w:outlineLvl w:val="0"/>
              <w:rPr>
                <w:color w:val="000000" w:themeColor="text1"/>
                <w:sz w:val="20"/>
                <w:szCs w:val="20"/>
              </w:rPr>
            </w:pPr>
            <w:r w:rsidRPr="001D4D2C">
              <w:rPr>
                <w:color w:val="000000" w:themeColor="text1"/>
                <w:sz w:val="20"/>
                <w:szCs w:val="20"/>
              </w:rPr>
              <w:t>Ambulance Service, members and volunteers</w:t>
            </w:r>
            <w:r w:rsidR="00CE4F07" w:rsidRPr="001D4D2C">
              <w:rPr>
                <w:color w:val="000000" w:themeColor="text1"/>
                <w:sz w:val="20"/>
                <w:szCs w:val="20"/>
              </w:rPr>
              <w:t xml:space="preserve"> </w:t>
            </w:r>
            <w:r w:rsidRPr="001D4D2C">
              <w:rPr>
                <w:color w:val="000000" w:themeColor="text1"/>
                <w:sz w:val="20"/>
                <w:szCs w:val="20"/>
              </w:rPr>
              <w:t xml:space="preserve">of the Fire Service and persons working for a health service.    </w:t>
            </w:r>
          </w:p>
        </w:tc>
      </w:tr>
      <w:tr w:rsidR="0094264B" w:rsidRPr="001D4D2C" w14:paraId="2301742B" w14:textId="77777777" w:rsidTr="00047677">
        <w:tc>
          <w:tcPr>
            <w:tcW w:w="1134" w:type="dxa"/>
          </w:tcPr>
          <w:p w14:paraId="2DE0D349" w14:textId="77777777" w:rsidR="00047677" w:rsidRPr="001D4D2C" w:rsidRDefault="0094264B" w:rsidP="00FF3A90">
            <w:pPr>
              <w:ind w:right="-205"/>
              <w:outlineLvl w:val="0"/>
              <w:rPr>
                <w:color w:val="000000" w:themeColor="text1"/>
                <w:sz w:val="20"/>
                <w:szCs w:val="20"/>
              </w:rPr>
            </w:pPr>
            <w:r w:rsidRPr="001D4D2C">
              <w:rPr>
                <w:color w:val="000000" w:themeColor="text1"/>
                <w:sz w:val="20"/>
                <w:szCs w:val="20"/>
              </w:rPr>
              <w:t xml:space="preserve">Northern </w:t>
            </w:r>
          </w:p>
          <w:p w14:paraId="6B57129B" w14:textId="1FCD9BDB" w:rsidR="0094264B" w:rsidRPr="001D4D2C" w:rsidRDefault="0094264B" w:rsidP="00FF3A90">
            <w:pPr>
              <w:ind w:right="-205"/>
              <w:outlineLvl w:val="0"/>
              <w:rPr>
                <w:color w:val="000000" w:themeColor="text1"/>
                <w:sz w:val="20"/>
                <w:szCs w:val="20"/>
              </w:rPr>
            </w:pPr>
            <w:r w:rsidRPr="001D4D2C">
              <w:rPr>
                <w:color w:val="000000" w:themeColor="text1"/>
                <w:sz w:val="20"/>
                <w:szCs w:val="20"/>
              </w:rPr>
              <w:t>Territory</w:t>
            </w:r>
          </w:p>
        </w:tc>
        <w:tc>
          <w:tcPr>
            <w:tcW w:w="3828" w:type="dxa"/>
          </w:tcPr>
          <w:p w14:paraId="0671B0E2"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 xml:space="preserve">Section 189A of the </w:t>
            </w:r>
          </w:p>
          <w:p w14:paraId="529B8938" w14:textId="77777777" w:rsidR="0094264B" w:rsidRPr="001D4D2C" w:rsidRDefault="0094264B" w:rsidP="00FF3A90">
            <w:pPr>
              <w:ind w:right="-205"/>
              <w:outlineLvl w:val="0"/>
              <w:rPr>
                <w:i/>
                <w:iCs/>
                <w:color w:val="000000" w:themeColor="text1"/>
                <w:sz w:val="20"/>
                <w:szCs w:val="20"/>
              </w:rPr>
            </w:pPr>
            <w:r w:rsidRPr="001D4D2C">
              <w:rPr>
                <w:i/>
                <w:iCs/>
                <w:color w:val="000000" w:themeColor="text1"/>
                <w:sz w:val="20"/>
                <w:szCs w:val="20"/>
              </w:rPr>
              <w:t>Criminal Code Act 1983</w:t>
            </w:r>
          </w:p>
          <w:p w14:paraId="33EC0F3F" w14:textId="77777777" w:rsidR="0094264B" w:rsidRPr="001D4D2C" w:rsidRDefault="0094264B" w:rsidP="00FF3A90">
            <w:pPr>
              <w:ind w:right="-205"/>
              <w:outlineLvl w:val="0"/>
              <w:rPr>
                <w:color w:val="000000" w:themeColor="text1"/>
                <w:sz w:val="20"/>
                <w:szCs w:val="20"/>
              </w:rPr>
            </w:pPr>
          </w:p>
          <w:p w14:paraId="0211BEEE"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“emergency worker”</w:t>
            </w:r>
          </w:p>
        </w:tc>
        <w:tc>
          <w:tcPr>
            <w:tcW w:w="4394" w:type="dxa"/>
          </w:tcPr>
          <w:p w14:paraId="7DD6582B"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 xml:space="preserve">Police officers, persons employed or volunteering for the Fire Service, public servants with emergency response duties, persons employed by the Ambulance Service, medical and health practitioners.     </w:t>
            </w:r>
          </w:p>
        </w:tc>
      </w:tr>
      <w:tr w:rsidR="0094264B" w:rsidRPr="001D4D2C" w14:paraId="07629F72" w14:textId="77777777" w:rsidTr="00047677">
        <w:tc>
          <w:tcPr>
            <w:tcW w:w="1134" w:type="dxa"/>
          </w:tcPr>
          <w:p w14:paraId="09D25A7C"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NSW</w:t>
            </w:r>
          </w:p>
        </w:tc>
        <w:tc>
          <w:tcPr>
            <w:tcW w:w="3828" w:type="dxa"/>
          </w:tcPr>
          <w:p w14:paraId="65E5F7C0" w14:textId="77777777" w:rsidR="0094264B" w:rsidRPr="001D4D2C" w:rsidRDefault="0094264B" w:rsidP="00FF3A90">
            <w:pPr>
              <w:ind w:right="-205"/>
              <w:outlineLvl w:val="0"/>
              <w:rPr>
                <w:i/>
                <w:iCs/>
                <w:color w:val="000000" w:themeColor="text1"/>
                <w:sz w:val="20"/>
                <w:szCs w:val="20"/>
              </w:rPr>
            </w:pPr>
            <w:r w:rsidRPr="001D4D2C">
              <w:rPr>
                <w:color w:val="000000" w:themeColor="text1"/>
                <w:sz w:val="20"/>
                <w:szCs w:val="20"/>
              </w:rPr>
              <w:t xml:space="preserve">Division 8A of the </w:t>
            </w:r>
            <w:r w:rsidRPr="001D4D2C">
              <w:rPr>
                <w:i/>
                <w:iCs/>
                <w:color w:val="000000" w:themeColor="text1"/>
                <w:sz w:val="20"/>
                <w:szCs w:val="20"/>
              </w:rPr>
              <w:t>Crimes Act 1900</w:t>
            </w:r>
          </w:p>
          <w:p w14:paraId="425E5D23" w14:textId="77777777" w:rsidR="0094264B" w:rsidRPr="001D4D2C" w:rsidRDefault="0094264B" w:rsidP="00FF3A90">
            <w:pPr>
              <w:ind w:right="-205"/>
              <w:outlineLvl w:val="0"/>
              <w:rPr>
                <w:i/>
                <w:iCs/>
                <w:color w:val="000000" w:themeColor="text1"/>
                <w:sz w:val="20"/>
                <w:szCs w:val="20"/>
              </w:rPr>
            </w:pPr>
          </w:p>
          <w:p w14:paraId="3927E022"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“frontline emergency worker” and “frontline health worker”</w:t>
            </w:r>
          </w:p>
        </w:tc>
        <w:tc>
          <w:tcPr>
            <w:tcW w:w="4394" w:type="dxa"/>
          </w:tcPr>
          <w:p w14:paraId="716A7BE7" w14:textId="77777777" w:rsidR="00000B1D" w:rsidRPr="001D4D2C" w:rsidRDefault="0094264B" w:rsidP="00FF3A90">
            <w:pPr>
              <w:ind w:right="-205"/>
              <w:outlineLvl w:val="0"/>
              <w:rPr>
                <w:color w:val="000000" w:themeColor="text1"/>
                <w:sz w:val="20"/>
                <w:szCs w:val="20"/>
              </w:rPr>
            </w:pPr>
            <w:r w:rsidRPr="001D4D2C">
              <w:rPr>
                <w:color w:val="000000" w:themeColor="text1"/>
                <w:sz w:val="20"/>
                <w:szCs w:val="20"/>
              </w:rPr>
              <w:t xml:space="preserve">Police officers, a member of an emergency services organization, a person working in </w:t>
            </w:r>
          </w:p>
          <w:p w14:paraId="798C4367" w14:textId="77777777" w:rsidR="00000B1D" w:rsidRPr="001D4D2C" w:rsidRDefault="0094264B" w:rsidP="00FF3A90">
            <w:pPr>
              <w:ind w:right="-205"/>
              <w:outlineLvl w:val="0"/>
              <w:rPr>
                <w:color w:val="000000" w:themeColor="text1"/>
                <w:sz w:val="20"/>
                <w:szCs w:val="20"/>
              </w:rPr>
            </w:pPr>
            <w:r w:rsidRPr="001D4D2C">
              <w:rPr>
                <w:color w:val="000000" w:themeColor="text1"/>
                <w:sz w:val="20"/>
                <w:szCs w:val="20"/>
              </w:rPr>
              <w:t xml:space="preserve">a hospital or health institution, a member </w:t>
            </w:r>
          </w:p>
          <w:p w14:paraId="49CE38B7" w14:textId="1D2041E2" w:rsidR="0094264B" w:rsidRPr="001D4D2C" w:rsidRDefault="0094264B" w:rsidP="00FF3A90">
            <w:pPr>
              <w:ind w:right="-205"/>
              <w:outlineLvl w:val="0"/>
              <w:rPr>
                <w:color w:val="000000" w:themeColor="text1"/>
                <w:sz w:val="20"/>
                <w:szCs w:val="20"/>
              </w:rPr>
            </w:pPr>
            <w:r w:rsidRPr="001D4D2C">
              <w:rPr>
                <w:color w:val="000000" w:themeColor="text1"/>
                <w:sz w:val="20"/>
                <w:szCs w:val="20"/>
              </w:rPr>
              <w:t xml:space="preserve">of the Ambulance Service, a member of the Fire Service, a person working in a pharmacy, security staff in a hospital, correctional officers, persons employed to provide services in a correctional facility. </w:t>
            </w:r>
          </w:p>
        </w:tc>
      </w:tr>
      <w:tr w:rsidR="0094264B" w:rsidRPr="001D4D2C" w14:paraId="53E86092" w14:textId="77777777" w:rsidTr="00047677">
        <w:tc>
          <w:tcPr>
            <w:tcW w:w="1134" w:type="dxa"/>
          </w:tcPr>
          <w:p w14:paraId="6D8B9F85" w14:textId="77777777" w:rsidR="0094264B" w:rsidRPr="001D4D2C" w:rsidRDefault="0094264B" w:rsidP="00FF3A90">
            <w:pPr>
              <w:ind w:right="-205"/>
              <w:jc w:val="both"/>
              <w:outlineLvl w:val="0"/>
              <w:rPr>
                <w:color w:val="000000" w:themeColor="text1"/>
                <w:sz w:val="20"/>
                <w:szCs w:val="20"/>
              </w:rPr>
            </w:pPr>
            <w:r w:rsidRPr="001D4D2C">
              <w:rPr>
                <w:color w:val="000000" w:themeColor="text1"/>
                <w:sz w:val="20"/>
                <w:szCs w:val="20"/>
              </w:rPr>
              <w:t>Queensland</w:t>
            </w:r>
          </w:p>
        </w:tc>
        <w:tc>
          <w:tcPr>
            <w:tcW w:w="3828" w:type="dxa"/>
          </w:tcPr>
          <w:p w14:paraId="2073999E" w14:textId="77777777" w:rsidR="0094264B" w:rsidRPr="001D4D2C" w:rsidRDefault="0094264B" w:rsidP="00FF3A90">
            <w:pPr>
              <w:ind w:right="-205"/>
              <w:outlineLvl w:val="0"/>
              <w:rPr>
                <w:i/>
                <w:iCs/>
                <w:color w:val="000000" w:themeColor="text1"/>
                <w:sz w:val="20"/>
                <w:szCs w:val="20"/>
              </w:rPr>
            </w:pPr>
            <w:r w:rsidRPr="001D4D2C">
              <w:rPr>
                <w:color w:val="000000" w:themeColor="text1"/>
                <w:sz w:val="20"/>
                <w:szCs w:val="20"/>
              </w:rPr>
              <w:t xml:space="preserve">Section 340 of the </w:t>
            </w:r>
            <w:r w:rsidRPr="001D4D2C">
              <w:rPr>
                <w:i/>
                <w:iCs/>
                <w:color w:val="000000" w:themeColor="text1"/>
                <w:sz w:val="20"/>
                <w:szCs w:val="20"/>
              </w:rPr>
              <w:t xml:space="preserve">Criminal Code 1899 </w:t>
            </w:r>
          </w:p>
          <w:p w14:paraId="0DD9163F" w14:textId="77777777" w:rsidR="0094264B" w:rsidRPr="001D4D2C" w:rsidRDefault="0094264B" w:rsidP="00FF3A90">
            <w:pPr>
              <w:ind w:right="-205"/>
              <w:outlineLvl w:val="0"/>
              <w:rPr>
                <w:color w:val="000000" w:themeColor="text1"/>
                <w:sz w:val="20"/>
                <w:szCs w:val="20"/>
              </w:rPr>
            </w:pPr>
          </w:p>
          <w:p w14:paraId="5C372C2D"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“public officer”</w:t>
            </w:r>
          </w:p>
        </w:tc>
        <w:tc>
          <w:tcPr>
            <w:tcW w:w="4394" w:type="dxa"/>
          </w:tcPr>
          <w:p w14:paraId="282B60AF" w14:textId="77777777" w:rsidR="00000B1D" w:rsidRPr="001D4D2C" w:rsidRDefault="0094264B" w:rsidP="00FF3A90">
            <w:pPr>
              <w:ind w:right="-205"/>
              <w:outlineLvl w:val="0"/>
              <w:rPr>
                <w:color w:val="000000" w:themeColor="text1"/>
                <w:sz w:val="20"/>
                <w:szCs w:val="20"/>
              </w:rPr>
            </w:pPr>
            <w:r w:rsidRPr="001D4D2C">
              <w:rPr>
                <w:color w:val="000000" w:themeColor="text1"/>
                <w:sz w:val="20"/>
                <w:szCs w:val="20"/>
              </w:rPr>
              <w:t xml:space="preserve">Police officers, persons employed by the Ambulance Service, persons employed or volunteering for the Fire Service, persons working for a health service including paramedics, nurses and doctors, child </w:t>
            </w:r>
          </w:p>
          <w:p w14:paraId="4BA6AA84" w14:textId="1502D17D" w:rsidR="0094264B" w:rsidRPr="001D4D2C" w:rsidRDefault="0094264B" w:rsidP="00FF3A90">
            <w:pPr>
              <w:ind w:right="-205"/>
              <w:outlineLvl w:val="0"/>
              <w:rPr>
                <w:color w:val="000000" w:themeColor="text1"/>
                <w:sz w:val="20"/>
                <w:szCs w:val="20"/>
              </w:rPr>
            </w:pPr>
            <w:r w:rsidRPr="001D4D2C">
              <w:rPr>
                <w:color w:val="000000" w:themeColor="text1"/>
                <w:sz w:val="20"/>
                <w:szCs w:val="20"/>
              </w:rPr>
              <w:t>safety officers, transit officers, corrective service officers</w:t>
            </w:r>
          </w:p>
        </w:tc>
      </w:tr>
      <w:tr w:rsidR="0094264B" w:rsidRPr="001D4D2C" w14:paraId="3FACD63C" w14:textId="77777777" w:rsidTr="00047677">
        <w:tc>
          <w:tcPr>
            <w:tcW w:w="1134" w:type="dxa"/>
          </w:tcPr>
          <w:p w14:paraId="68DC8A08" w14:textId="77777777" w:rsidR="00047677" w:rsidRPr="001D4D2C" w:rsidRDefault="0094264B" w:rsidP="00FF3A90">
            <w:pPr>
              <w:ind w:right="-205"/>
              <w:outlineLvl w:val="0"/>
              <w:rPr>
                <w:color w:val="000000" w:themeColor="text1"/>
                <w:sz w:val="20"/>
                <w:szCs w:val="20"/>
              </w:rPr>
            </w:pPr>
            <w:r w:rsidRPr="001D4D2C">
              <w:rPr>
                <w:color w:val="000000" w:themeColor="text1"/>
                <w:sz w:val="20"/>
                <w:szCs w:val="20"/>
              </w:rPr>
              <w:t xml:space="preserve">South </w:t>
            </w:r>
          </w:p>
          <w:p w14:paraId="14CD99FB" w14:textId="2516703D" w:rsidR="0094264B" w:rsidRPr="001D4D2C" w:rsidRDefault="0094264B" w:rsidP="00FF3A90">
            <w:pPr>
              <w:ind w:right="-205"/>
              <w:outlineLvl w:val="0"/>
              <w:rPr>
                <w:color w:val="000000" w:themeColor="text1"/>
                <w:sz w:val="20"/>
                <w:szCs w:val="20"/>
              </w:rPr>
            </w:pPr>
            <w:r w:rsidRPr="001D4D2C">
              <w:rPr>
                <w:color w:val="000000" w:themeColor="text1"/>
                <w:sz w:val="20"/>
                <w:szCs w:val="20"/>
              </w:rPr>
              <w:t>Australia</w:t>
            </w:r>
          </w:p>
        </w:tc>
        <w:tc>
          <w:tcPr>
            <w:tcW w:w="3828" w:type="dxa"/>
          </w:tcPr>
          <w:p w14:paraId="2E98FCF7"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Section 20AA of the</w:t>
            </w:r>
          </w:p>
          <w:p w14:paraId="3E2D4DD9" w14:textId="77777777" w:rsidR="0094264B" w:rsidRPr="001D4D2C" w:rsidRDefault="0094264B" w:rsidP="00FF3A90">
            <w:pPr>
              <w:ind w:right="-205"/>
              <w:outlineLvl w:val="0"/>
              <w:rPr>
                <w:i/>
                <w:iCs/>
                <w:color w:val="000000" w:themeColor="text1"/>
                <w:sz w:val="20"/>
                <w:szCs w:val="20"/>
              </w:rPr>
            </w:pPr>
            <w:r w:rsidRPr="001D4D2C">
              <w:rPr>
                <w:i/>
                <w:iCs/>
                <w:color w:val="000000" w:themeColor="text1"/>
                <w:sz w:val="20"/>
                <w:szCs w:val="20"/>
              </w:rPr>
              <w:t>Criminal Law Consolidation Act 1935</w:t>
            </w:r>
          </w:p>
          <w:p w14:paraId="6B10478F" w14:textId="77777777" w:rsidR="0094264B" w:rsidRPr="001D4D2C" w:rsidRDefault="0094264B" w:rsidP="00FF3A90">
            <w:pPr>
              <w:ind w:right="-205"/>
              <w:outlineLvl w:val="0"/>
              <w:rPr>
                <w:color w:val="000000" w:themeColor="text1"/>
                <w:sz w:val="20"/>
                <w:szCs w:val="20"/>
              </w:rPr>
            </w:pPr>
          </w:p>
          <w:p w14:paraId="6A962EF6"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“prescribed emergency worker”</w:t>
            </w:r>
          </w:p>
        </w:tc>
        <w:tc>
          <w:tcPr>
            <w:tcW w:w="4394" w:type="dxa"/>
          </w:tcPr>
          <w:p w14:paraId="71ADC21B" w14:textId="77777777" w:rsidR="00000B1D" w:rsidRPr="001D4D2C" w:rsidRDefault="0094264B" w:rsidP="00FF3A90">
            <w:pPr>
              <w:ind w:right="-205"/>
              <w:outlineLvl w:val="0"/>
              <w:rPr>
                <w:color w:val="000000" w:themeColor="text1"/>
                <w:sz w:val="20"/>
                <w:szCs w:val="20"/>
              </w:rPr>
            </w:pPr>
            <w:r w:rsidRPr="001D4D2C">
              <w:rPr>
                <w:color w:val="000000" w:themeColor="text1"/>
                <w:sz w:val="20"/>
                <w:szCs w:val="20"/>
              </w:rPr>
              <w:t xml:space="preserve">Police Officer, prison officer, community corrections officer, youth justice officer, persons working in a hospital, a general practice or medical </w:t>
            </w:r>
            <w:proofErr w:type="spellStart"/>
            <w:r w:rsidRPr="001D4D2C">
              <w:rPr>
                <w:color w:val="000000" w:themeColor="text1"/>
                <w:sz w:val="20"/>
                <w:szCs w:val="20"/>
              </w:rPr>
              <w:t>centre</w:t>
            </w:r>
            <w:proofErr w:type="spellEnd"/>
            <w:r w:rsidRPr="001D4D2C">
              <w:rPr>
                <w:color w:val="000000" w:themeColor="text1"/>
                <w:sz w:val="20"/>
                <w:szCs w:val="20"/>
              </w:rPr>
              <w:t xml:space="preserve">, a person working in a pharmacy, a member of the Ambulance Service, a member of the Fire Service, a member of the emergency </w:t>
            </w:r>
          </w:p>
          <w:p w14:paraId="1E947081" w14:textId="2328DCDD" w:rsidR="0094264B" w:rsidRPr="001D4D2C" w:rsidRDefault="0094264B" w:rsidP="00FF3A90">
            <w:pPr>
              <w:ind w:right="-205"/>
              <w:outlineLvl w:val="0"/>
              <w:rPr>
                <w:color w:val="000000" w:themeColor="text1"/>
                <w:sz w:val="20"/>
                <w:szCs w:val="20"/>
              </w:rPr>
            </w:pPr>
            <w:r w:rsidRPr="001D4D2C">
              <w:rPr>
                <w:color w:val="000000" w:themeColor="text1"/>
                <w:sz w:val="20"/>
                <w:szCs w:val="20"/>
              </w:rPr>
              <w:t xml:space="preserve">service </w:t>
            </w:r>
          </w:p>
        </w:tc>
      </w:tr>
      <w:tr w:rsidR="0094264B" w:rsidRPr="001D4D2C" w14:paraId="4D917B07" w14:textId="77777777" w:rsidTr="00047677">
        <w:tc>
          <w:tcPr>
            <w:tcW w:w="1134" w:type="dxa"/>
          </w:tcPr>
          <w:p w14:paraId="64A39FAD" w14:textId="77777777" w:rsidR="0094264B" w:rsidRPr="001D4D2C" w:rsidRDefault="0094264B" w:rsidP="00FF3A90">
            <w:pPr>
              <w:ind w:right="-205"/>
              <w:jc w:val="both"/>
              <w:outlineLvl w:val="0"/>
              <w:rPr>
                <w:color w:val="000000" w:themeColor="text1"/>
                <w:sz w:val="20"/>
                <w:szCs w:val="20"/>
              </w:rPr>
            </w:pPr>
            <w:r w:rsidRPr="001D4D2C">
              <w:rPr>
                <w:color w:val="000000" w:themeColor="text1"/>
                <w:sz w:val="20"/>
                <w:szCs w:val="20"/>
              </w:rPr>
              <w:t>Tasmania</w:t>
            </w:r>
          </w:p>
        </w:tc>
        <w:tc>
          <w:tcPr>
            <w:tcW w:w="3828" w:type="dxa"/>
          </w:tcPr>
          <w:p w14:paraId="74318E8E"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 xml:space="preserve">Section 34B of the </w:t>
            </w:r>
            <w:r w:rsidRPr="001D4D2C">
              <w:rPr>
                <w:i/>
                <w:iCs/>
                <w:color w:val="000000" w:themeColor="text1"/>
                <w:sz w:val="20"/>
                <w:szCs w:val="20"/>
              </w:rPr>
              <w:t>Police Offences Act 1935</w:t>
            </w:r>
            <w:r w:rsidRPr="001D4D2C">
              <w:rPr>
                <w:color w:val="000000" w:themeColor="text1"/>
                <w:sz w:val="20"/>
                <w:szCs w:val="20"/>
              </w:rPr>
              <w:t xml:space="preserve"> </w:t>
            </w:r>
          </w:p>
        </w:tc>
        <w:tc>
          <w:tcPr>
            <w:tcW w:w="4394" w:type="dxa"/>
          </w:tcPr>
          <w:p w14:paraId="2C36CE34"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 xml:space="preserve">Police officers, persons employed or appointed by the Fire Service, persons employed or appointed by the Ambulance Service, emergency management workers </w:t>
            </w:r>
          </w:p>
        </w:tc>
      </w:tr>
      <w:tr w:rsidR="0094264B" w:rsidRPr="001D4D2C" w14:paraId="2AD9A36D" w14:textId="77777777" w:rsidTr="00047677">
        <w:tc>
          <w:tcPr>
            <w:tcW w:w="1134" w:type="dxa"/>
          </w:tcPr>
          <w:p w14:paraId="6129A916"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Victoria</w:t>
            </w:r>
          </w:p>
        </w:tc>
        <w:tc>
          <w:tcPr>
            <w:tcW w:w="3828" w:type="dxa"/>
          </w:tcPr>
          <w:p w14:paraId="1648A043" w14:textId="77777777" w:rsidR="0094264B" w:rsidRPr="001D4D2C" w:rsidRDefault="0094264B" w:rsidP="00FF3A90">
            <w:pPr>
              <w:ind w:right="-205"/>
              <w:outlineLvl w:val="0"/>
              <w:rPr>
                <w:i/>
                <w:iCs/>
                <w:color w:val="000000" w:themeColor="text1"/>
                <w:sz w:val="20"/>
                <w:szCs w:val="20"/>
              </w:rPr>
            </w:pPr>
            <w:r w:rsidRPr="001D4D2C">
              <w:rPr>
                <w:color w:val="000000" w:themeColor="text1"/>
                <w:sz w:val="20"/>
                <w:szCs w:val="20"/>
              </w:rPr>
              <w:t xml:space="preserve">Section 10AA of the </w:t>
            </w:r>
            <w:r w:rsidRPr="001D4D2C">
              <w:rPr>
                <w:i/>
                <w:iCs/>
                <w:color w:val="000000" w:themeColor="text1"/>
                <w:sz w:val="20"/>
                <w:szCs w:val="20"/>
              </w:rPr>
              <w:t>Sentencing Act 1991</w:t>
            </w:r>
          </w:p>
          <w:p w14:paraId="7B38FA0F" w14:textId="77777777" w:rsidR="0094264B" w:rsidRPr="001D4D2C" w:rsidRDefault="0094264B" w:rsidP="00FF3A90">
            <w:pPr>
              <w:ind w:right="-205"/>
              <w:outlineLvl w:val="0"/>
              <w:rPr>
                <w:color w:val="000000" w:themeColor="text1"/>
                <w:sz w:val="20"/>
                <w:szCs w:val="20"/>
              </w:rPr>
            </w:pPr>
          </w:p>
          <w:p w14:paraId="53DE1BD7"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“emergency worker on duty”</w:t>
            </w:r>
          </w:p>
        </w:tc>
        <w:tc>
          <w:tcPr>
            <w:tcW w:w="4394" w:type="dxa"/>
          </w:tcPr>
          <w:p w14:paraId="3BC87FA3" w14:textId="77777777" w:rsidR="00000B1D" w:rsidRPr="001D4D2C" w:rsidRDefault="0094264B" w:rsidP="00FF3A90">
            <w:pPr>
              <w:ind w:right="-205"/>
              <w:outlineLvl w:val="0"/>
              <w:rPr>
                <w:color w:val="000000" w:themeColor="text1"/>
                <w:sz w:val="20"/>
                <w:szCs w:val="20"/>
              </w:rPr>
            </w:pPr>
            <w:r w:rsidRPr="001D4D2C">
              <w:rPr>
                <w:color w:val="000000" w:themeColor="text1"/>
                <w:sz w:val="20"/>
                <w:szCs w:val="20"/>
              </w:rPr>
              <w:t xml:space="preserve">Police Officers, protective services officer, persons employed by the Ambulance Service, person providing emergency treatment to patient in hospital, persons employed or volunteering for the Fire Service; public servants with emergency response duties, volunteer emergency workers, custodial officers and youth </w:t>
            </w:r>
          </w:p>
          <w:p w14:paraId="06C41155" w14:textId="31FC6C03" w:rsidR="0094264B" w:rsidRPr="001D4D2C" w:rsidRDefault="0094264B" w:rsidP="00FF3A90">
            <w:pPr>
              <w:ind w:right="-205"/>
              <w:outlineLvl w:val="0"/>
              <w:rPr>
                <w:color w:val="000000" w:themeColor="text1"/>
                <w:sz w:val="20"/>
                <w:szCs w:val="20"/>
              </w:rPr>
            </w:pPr>
            <w:r w:rsidRPr="001D4D2C">
              <w:rPr>
                <w:color w:val="000000" w:themeColor="text1"/>
                <w:sz w:val="20"/>
                <w:szCs w:val="20"/>
              </w:rPr>
              <w:t xml:space="preserve">justice custodial workers. </w:t>
            </w:r>
          </w:p>
        </w:tc>
      </w:tr>
      <w:tr w:rsidR="0094264B" w:rsidRPr="001D4D2C" w14:paraId="13109062" w14:textId="77777777" w:rsidTr="00047677">
        <w:tc>
          <w:tcPr>
            <w:tcW w:w="1134" w:type="dxa"/>
          </w:tcPr>
          <w:p w14:paraId="73FA01CD" w14:textId="77777777" w:rsidR="00047677" w:rsidRPr="001D4D2C" w:rsidRDefault="0094264B" w:rsidP="00FF3A90">
            <w:pPr>
              <w:ind w:right="-205"/>
              <w:outlineLvl w:val="0"/>
              <w:rPr>
                <w:color w:val="000000" w:themeColor="text1"/>
                <w:sz w:val="20"/>
                <w:szCs w:val="20"/>
              </w:rPr>
            </w:pPr>
            <w:r w:rsidRPr="001D4D2C">
              <w:rPr>
                <w:color w:val="000000" w:themeColor="text1"/>
                <w:sz w:val="20"/>
                <w:szCs w:val="20"/>
              </w:rPr>
              <w:t xml:space="preserve">Western </w:t>
            </w:r>
          </w:p>
          <w:p w14:paraId="7A5F5340" w14:textId="58EF6B73" w:rsidR="0094264B" w:rsidRPr="001D4D2C" w:rsidRDefault="0094264B" w:rsidP="00FF3A90">
            <w:pPr>
              <w:ind w:right="-205"/>
              <w:outlineLvl w:val="0"/>
              <w:rPr>
                <w:color w:val="000000" w:themeColor="text1"/>
                <w:sz w:val="20"/>
                <w:szCs w:val="20"/>
              </w:rPr>
            </w:pPr>
            <w:r w:rsidRPr="001D4D2C">
              <w:rPr>
                <w:color w:val="000000" w:themeColor="text1"/>
                <w:sz w:val="20"/>
                <w:szCs w:val="20"/>
              </w:rPr>
              <w:t>Australia</w:t>
            </w:r>
          </w:p>
        </w:tc>
        <w:tc>
          <w:tcPr>
            <w:tcW w:w="3828" w:type="dxa"/>
          </w:tcPr>
          <w:p w14:paraId="3609C978"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 xml:space="preserve">Sections 297(4) or 318(1) </w:t>
            </w:r>
          </w:p>
          <w:p w14:paraId="3082C6F4" w14:textId="77777777" w:rsidR="0094264B" w:rsidRPr="001D4D2C" w:rsidRDefault="0094264B" w:rsidP="00FF3A90">
            <w:pPr>
              <w:ind w:right="-205"/>
              <w:outlineLvl w:val="0"/>
              <w:rPr>
                <w:i/>
                <w:iCs/>
                <w:color w:val="000000" w:themeColor="text1"/>
                <w:sz w:val="20"/>
                <w:szCs w:val="20"/>
              </w:rPr>
            </w:pPr>
            <w:r w:rsidRPr="001D4D2C">
              <w:rPr>
                <w:color w:val="000000" w:themeColor="text1"/>
                <w:sz w:val="20"/>
                <w:szCs w:val="20"/>
              </w:rPr>
              <w:t xml:space="preserve">of the </w:t>
            </w:r>
            <w:r w:rsidRPr="001D4D2C">
              <w:rPr>
                <w:i/>
                <w:iCs/>
                <w:color w:val="000000" w:themeColor="text1"/>
                <w:sz w:val="20"/>
                <w:szCs w:val="20"/>
              </w:rPr>
              <w:t>Criminal Code Act Compilation Act 1913</w:t>
            </w:r>
          </w:p>
          <w:p w14:paraId="2417479F" w14:textId="77777777" w:rsidR="0094264B" w:rsidRPr="001D4D2C" w:rsidRDefault="0094264B" w:rsidP="00FF3A90">
            <w:pPr>
              <w:ind w:right="-205"/>
              <w:outlineLvl w:val="0"/>
              <w:rPr>
                <w:i/>
                <w:iCs/>
                <w:color w:val="000000" w:themeColor="text1"/>
                <w:sz w:val="20"/>
                <w:szCs w:val="20"/>
              </w:rPr>
            </w:pPr>
          </w:p>
          <w:p w14:paraId="2C237575" w14:textId="77777777" w:rsidR="0094264B" w:rsidRPr="001D4D2C" w:rsidRDefault="0094264B" w:rsidP="00FF3A90">
            <w:pPr>
              <w:ind w:right="-205"/>
              <w:outlineLvl w:val="0"/>
              <w:rPr>
                <w:color w:val="000000" w:themeColor="text1"/>
                <w:sz w:val="20"/>
                <w:szCs w:val="20"/>
              </w:rPr>
            </w:pPr>
            <w:r w:rsidRPr="001D4D2C">
              <w:rPr>
                <w:color w:val="000000" w:themeColor="text1"/>
                <w:sz w:val="20"/>
                <w:szCs w:val="20"/>
              </w:rPr>
              <w:t>“public officer”</w:t>
            </w:r>
            <w:r w:rsidRPr="001D4D2C">
              <w:rPr>
                <w:i/>
                <w:iCs/>
                <w:color w:val="000000" w:themeColor="text1"/>
                <w:sz w:val="20"/>
                <w:szCs w:val="20"/>
              </w:rPr>
              <w:t xml:space="preserve"> </w:t>
            </w:r>
          </w:p>
        </w:tc>
        <w:tc>
          <w:tcPr>
            <w:tcW w:w="4394" w:type="dxa"/>
          </w:tcPr>
          <w:p w14:paraId="38D67B4D" w14:textId="77777777" w:rsidR="00000B1D" w:rsidRPr="001D4D2C" w:rsidRDefault="0094264B" w:rsidP="00FF3A90">
            <w:pPr>
              <w:ind w:right="-205"/>
              <w:outlineLvl w:val="0"/>
              <w:rPr>
                <w:sz w:val="20"/>
                <w:szCs w:val="20"/>
              </w:rPr>
            </w:pPr>
            <w:r w:rsidRPr="001D4D2C">
              <w:rPr>
                <w:sz w:val="20"/>
                <w:szCs w:val="20"/>
              </w:rPr>
              <w:t xml:space="preserve">Police officers, custodial officers, train, </w:t>
            </w:r>
          </w:p>
          <w:p w14:paraId="412D5120" w14:textId="77777777" w:rsidR="00000B1D" w:rsidRPr="001D4D2C" w:rsidRDefault="0094264B" w:rsidP="00FF3A90">
            <w:pPr>
              <w:ind w:right="-205"/>
              <w:outlineLvl w:val="0"/>
              <w:rPr>
                <w:color w:val="000000" w:themeColor="text1"/>
                <w:sz w:val="20"/>
                <w:szCs w:val="20"/>
              </w:rPr>
            </w:pPr>
            <w:r w:rsidRPr="001D4D2C">
              <w:rPr>
                <w:sz w:val="20"/>
                <w:szCs w:val="20"/>
              </w:rPr>
              <w:t xml:space="preserve">ferry and bus drivers,  </w:t>
            </w:r>
            <w:r w:rsidRPr="001D4D2C">
              <w:rPr>
                <w:color w:val="000000" w:themeColor="text1"/>
                <w:sz w:val="20"/>
                <w:szCs w:val="20"/>
              </w:rPr>
              <w:t xml:space="preserve">persons employed </w:t>
            </w:r>
          </w:p>
          <w:p w14:paraId="675DC30C" w14:textId="1DE3A493" w:rsidR="0094264B" w:rsidRPr="001D4D2C" w:rsidRDefault="0094264B" w:rsidP="00FF3A90">
            <w:pPr>
              <w:ind w:right="-205"/>
              <w:outlineLvl w:val="0"/>
              <w:rPr>
                <w:sz w:val="20"/>
                <w:szCs w:val="20"/>
              </w:rPr>
            </w:pPr>
            <w:r w:rsidRPr="001D4D2C">
              <w:rPr>
                <w:color w:val="000000" w:themeColor="text1"/>
                <w:sz w:val="20"/>
                <w:szCs w:val="20"/>
              </w:rPr>
              <w:t xml:space="preserve">by the Ambulance Service, persons employed or volunteering for the Fire Service, person working in hospital or providing a health service to the public, persons contracted to provide </w:t>
            </w:r>
            <w:r w:rsidRPr="001D4D2C">
              <w:rPr>
                <w:sz w:val="20"/>
                <w:szCs w:val="20"/>
              </w:rPr>
              <w:t>court and custodial security officers and persons contracted to work at prison.</w:t>
            </w:r>
          </w:p>
        </w:tc>
      </w:tr>
    </w:tbl>
    <w:p w14:paraId="78A8B994" w14:textId="77777777" w:rsidR="0094264B" w:rsidRPr="00000B1D" w:rsidRDefault="0094264B" w:rsidP="0094264B">
      <w:pPr>
        <w:ind w:right="-205"/>
        <w:jc w:val="both"/>
        <w:rPr>
          <w:rFonts w:cs="Arial"/>
          <w:color w:val="000000"/>
          <w:sz w:val="22"/>
          <w:szCs w:val="22"/>
        </w:rPr>
      </w:pPr>
    </w:p>
    <w:p w14:paraId="3AF41967" w14:textId="77777777" w:rsidR="00066F5B" w:rsidRDefault="00066F5B" w:rsidP="00CE4F07">
      <w:pPr>
        <w:ind w:right="-205"/>
        <w:jc w:val="both"/>
        <w:rPr>
          <w:rFonts w:cs="Arial"/>
          <w:color w:val="000000"/>
        </w:rPr>
      </w:pPr>
    </w:p>
    <w:p w14:paraId="56967BA9" w14:textId="71829DFE" w:rsidR="00513B60" w:rsidRDefault="0094264B" w:rsidP="00CE4F07">
      <w:pPr>
        <w:ind w:right="-205"/>
        <w:jc w:val="both"/>
        <w:rPr>
          <w:rFonts w:cs="Arial"/>
          <w:color w:val="000000" w:themeColor="text1"/>
        </w:rPr>
      </w:pPr>
      <w:r>
        <w:rPr>
          <w:rFonts w:cs="Arial"/>
          <w:color w:val="000000"/>
        </w:rPr>
        <w:lastRenderedPageBreak/>
        <w:t xml:space="preserve">The Bill, if passed, will significantly broaden the definition of ‘frontline worker’ as that term is used in other jurisdictions. For example, in New South Wales, the definition only extends to a frontline </w:t>
      </w:r>
      <w:r w:rsidRPr="00012913">
        <w:rPr>
          <w:rFonts w:cs="Arial"/>
          <w:i/>
          <w:iCs/>
          <w:color w:val="000000"/>
        </w:rPr>
        <w:t>emergency</w:t>
      </w:r>
      <w:r>
        <w:rPr>
          <w:rFonts w:cs="Arial"/>
          <w:color w:val="000000"/>
        </w:rPr>
        <w:t xml:space="preserve"> worker or a frontline </w:t>
      </w:r>
      <w:r w:rsidRPr="00012913">
        <w:rPr>
          <w:rFonts w:cs="Arial"/>
          <w:i/>
          <w:iCs/>
          <w:color w:val="000000"/>
        </w:rPr>
        <w:t>health</w:t>
      </w:r>
      <w:r>
        <w:rPr>
          <w:rFonts w:cs="Arial"/>
          <w:color w:val="000000"/>
        </w:rPr>
        <w:t xml:space="preserve"> worker. </w:t>
      </w:r>
      <w:r w:rsidR="00CD5A70">
        <w:rPr>
          <w:rFonts w:cs="Arial"/>
          <w:color w:val="000000"/>
        </w:rPr>
        <w:t xml:space="preserve">Whilst no one should </w:t>
      </w:r>
      <w:r w:rsidR="00D810B2">
        <w:rPr>
          <w:rFonts w:cs="Arial"/>
          <w:color w:val="000000"/>
        </w:rPr>
        <w:t xml:space="preserve">ever </w:t>
      </w:r>
      <w:r w:rsidR="00CD5A70">
        <w:rPr>
          <w:rFonts w:cs="Arial"/>
          <w:color w:val="000000"/>
        </w:rPr>
        <w:t xml:space="preserve">be assaulted, </w:t>
      </w:r>
      <w:r w:rsidR="00CD5A70">
        <w:rPr>
          <w:rFonts w:cs="Arial"/>
          <w:color w:val="000000" w:themeColor="text1"/>
        </w:rPr>
        <w:t>w</w:t>
      </w:r>
      <w:r w:rsidRPr="003302CA">
        <w:rPr>
          <w:rFonts w:cs="Arial"/>
          <w:color w:val="000000" w:themeColor="text1"/>
        </w:rPr>
        <w:t xml:space="preserve">e </w:t>
      </w:r>
      <w:r w:rsidR="00CD5A70">
        <w:rPr>
          <w:rFonts w:cs="Arial"/>
          <w:color w:val="000000" w:themeColor="text1"/>
        </w:rPr>
        <w:t>understand the</w:t>
      </w:r>
      <w:r w:rsidRPr="003302CA">
        <w:rPr>
          <w:rFonts w:cs="Arial"/>
          <w:color w:val="000000" w:themeColor="text1"/>
        </w:rPr>
        <w:t xml:space="preserve"> important policy consideration</w:t>
      </w:r>
      <w:r w:rsidR="00526235">
        <w:rPr>
          <w:rFonts w:cs="Arial"/>
          <w:color w:val="000000" w:themeColor="text1"/>
        </w:rPr>
        <w:t xml:space="preserve"> </w:t>
      </w:r>
      <w:r w:rsidRPr="003302CA">
        <w:rPr>
          <w:rFonts w:cs="Arial"/>
          <w:color w:val="000000" w:themeColor="text1"/>
        </w:rPr>
        <w:t>warrant</w:t>
      </w:r>
      <w:r w:rsidR="00526235">
        <w:rPr>
          <w:rFonts w:cs="Arial"/>
          <w:color w:val="000000" w:themeColor="text1"/>
        </w:rPr>
        <w:t>ing</w:t>
      </w:r>
      <w:r w:rsidRPr="003302CA">
        <w:rPr>
          <w:rFonts w:cs="Arial"/>
          <w:color w:val="000000" w:themeColor="text1"/>
        </w:rPr>
        <w:t xml:space="preserve"> police officers and emergency service workers being protected from assault, namely that</w:t>
      </w:r>
      <w:r w:rsidR="00526235">
        <w:rPr>
          <w:rFonts w:cs="Arial"/>
          <w:color w:val="000000" w:themeColor="text1"/>
        </w:rPr>
        <w:t xml:space="preserve"> part of their</w:t>
      </w:r>
      <w:r w:rsidRPr="003302CA">
        <w:rPr>
          <w:rFonts w:cs="Arial"/>
          <w:color w:val="000000" w:themeColor="text1"/>
        </w:rPr>
        <w:t xml:space="preserve"> role include</w:t>
      </w:r>
      <w:r w:rsidR="00513B60">
        <w:rPr>
          <w:rFonts w:cs="Arial"/>
          <w:color w:val="000000" w:themeColor="text1"/>
        </w:rPr>
        <w:t>s</w:t>
      </w:r>
      <w:r w:rsidRPr="003302CA">
        <w:rPr>
          <w:rFonts w:cs="Arial"/>
          <w:color w:val="000000" w:themeColor="text1"/>
        </w:rPr>
        <w:t xml:space="preserve"> saving lives and keeping us safe. As a result, the assault of police officers and </w:t>
      </w:r>
      <w:r w:rsidR="00615D58">
        <w:rPr>
          <w:rFonts w:cs="Arial"/>
          <w:color w:val="000000" w:themeColor="text1"/>
        </w:rPr>
        <w:t xml:space="preserve">other </w:t>
      </w:r>
      <w:r w:rsidRPr="003302CA">
        <w:rPr>
          <w:rFonts w:cs="Arial"/>
          <w:color w:val="000000" w:themeColor="text1"/>
        </w:rPr>
        <w:t xml:space="preserve">emergency service workers may threaten the </w:t>
      </w:r>
      <w:r w:rsidR="00526235">
        <w:rPr>
          <w:rFonts w:cs="Arial"/>
          <w:color w:val="000000" w:themeColor="text1"/>
        </w:rPr>
        <w:t xml:space="preserve">lives and </w:t>
      </w:r>
      <w:r w:rsidRPr="003302CA">
        <w:rPr>
          <w:rFonts w:cs="Arial"/>
          <w:color w:val="000000" w:themeColor="text1"/>
        </w:rPr>
        <w:t xml:space="preserve">safety of others. However, it is difficult to make the same argument for </w:t>
      </w:r>
      <w:r w:rsidR="00CE4F07">
        <w:rPr>
          <w:rFonts w:cs="Arial"/>
          <w:color w:val="000000" w:themeColor="text1"/>
        </w:rPr>
        <w:t>‘</w:t>
      </w:r>
      <w:r w:rsidRPr="003302CA">
        <w:rPr>
          <w:rFonts w:cs="Arial"/>
          <w:color w:val="000000" w:themeColor="text1"/>
        </w:rPr>
        <w:t>retail and hospitality workers</w:t>
      </w:r>
      <w:r w:rsidR="00CE4F07">
        <w:rPr>
          <w:rFonts w:cs="Arial"/>
          <w:color w:val="000000" w:themeColor="text1"/>
        </w:rPr>
        <w:t xml:space="preserve">’, or ‘passenger transport service drivers’ </w:t>
      </w:r>
      <w:r w:rsidR="009F090F">
        <w:rPr>
          <w:rFonts w:cs="Arial"/>
          <w:color w:val="000000" w:themeColor="text1"/>
        </w:rPr>
        <w:t>and</w:t>
      </w:r>
      <w:r w:rsidR="00513B60">
        <w:rPr>
          <w:rFonts w:cs="Arial"/>
          <w:color w:val="000000" w:themeColor="text1"/>
        </w:rPr>
        <w:t xml:space="preserve"> </w:t>
      </w:r>
      <w:r w:rsidR="00CE4F07">
        <w:rPr>
          <w:rFonts w:cs="Arial"/>
          <w:color w:val="000000" w:themeColor="text1"/>
        </w:rPr>
        <w:t xml:space="preserve">‘security officers’. </w:t>
      </w:r>
    </w:p>
    <w:p w14:paraId="7DCB4DA1" w14:textId="77777777" w:rsidR="00513B60" w:rsidRDefault="00513B60" w:rsidP="00CE4F07">
      <w:pPr>
        <w:ind w:right="-205"/>
        <w:jc w:val="both"/>
        <w:rPr>
          <w:rFonts w:cs="Arial"/>
          <w:color w:val="000000" w:themeColor="text1"/>
        </w:rPr>
      </w:pPr>
    </w:p>
    <w:p w14:paraId="0C41B6E6" w14:textId="41D5140B" w:rsidR="00412D73" w:rsidRPr="00A71A60" w:rsidRDefault="00615D58" w:rsidP="00CE4F07">
      <w:pPr>
        <w:ind w:right="-205"/>
        <w:jc w:val="both"/>
        <w:rPr>
          <w:rFonts w:cs="Arial"/>
          <w:color w:val="000000" w:themeColor="text1"/>
        </w:rPr>
      </w:pPr>
      <w:r w:rsidRPr="00A71A60">
        <w:rPr>
          <w:rFonts w:cs="Arial"/>
          <w:color w:val="000000" w:themeColor="text1"/>
        </w:rPr>
        <w:t>Another reason why the definition should be limited to persons working in emergency situations is that there is no evidence</w:t>
      </w:r>
      <w:r w:rsidR="004D3671" w:rsidRPr="00A71A60">
        <w:rPr>
          <w:rFonts w:cs="Arial"/>
          <w:color w:val="000000" w:themeColor="text1"/>
        </w:rPr>
        <w:t xml:space="preserve"> </w:t>
      </w:r>
      <w:r w:rsidR="00513B60" w:rsidRPr="00A71A60">
        <w:rPr>
          <w:rFonts w:cs="Arial"/>
          <w:color w:val="000000" w:themeColor="text1"/>
        </w:rPr>
        <w:t xml:space="preserve">of other occupations being targeted, warranting their inclusion. </w:t>
      </w:r>
      <w:r w:rsidR="004D3671" w:rsidRPr="00A71A60">
        <w:rPr>
          <w:rFonts w:cs="Arial"/>
          <w:color w:val="000000" w:themeColor="text1"/>
        </w:rPr>
        <w:t xml:space="preserve">Information provided </w:t>
      </w:r>
      <w:r w:rsidR="00BE3410" w:rsidRPr="00A71A60">
        <w:rPr>
          <w:rFonts w:cs="Arial"/>
          <w:color w:val="000000" w:themeColor="text1"/>
        </w:rPr>
        <w:t xml:space="preserve">by Workcover Tasmania highlights that </w:t>
      </w:r>
      <w:r w:rsidR="009A3479" w:rsidRPr="00A71A60">
        <w:rPr>
          <w:rFonts w:cs="Arial"/>
          <w:color w:val="000000" w:themeColor="text1"/>
        </w:rPr>
        <w:t>over the last five years,</w:t>
      </w:r>
      <w:r w:rsidR="001804DF" w:rsidRPr="00A71A60">
        <w:rPr>
          <w:rFonts w:cs="Arial"/>
          <w:color w:val="000000" w:themeColor="text1"/>
        </w:rPr>
        <w:t xml:space="preserve"> </w:t>
      </w:r>
      <w:r w:rsidR="00513B60" w:rsidRPr="00A71A60">
        <w:rPr>
          <w:rFonts w:cs="Arial"/>
          <w:color w:val="000000" w:themeColor="text1"/>
        </w:rPr>
        <w:t>assaults against retail and hospitality workers</w:t>
      </w:r>
      <w:r w:rsidR="009A3479" w:rsidRPr="00A71A60">
        <w:rPr>
          <w:rFonts w:cs="Arial"/>
          <w:color w:val="000000" w:themeColor="text1"/>
        </w:rPr>
        <w:t xml:space="preserve"> </w:t>
      </w:r>
      <w:r w:rsidR="00EF761B" w:rsidRPr="00A71A60">
        <w:rPr>
          <w:rFonts w:cs="Arial"/>
          <w:color w:val="000000" w:themeColor="text1"/>
        </w:rPr>
        <w:t xml:space="preserve">resulting in a workers compensation claim </w:t>
      </w:r>
      <w:r w:rsidR="002A30D5" w:rsidRPr="00A71A60">
        <w:rPr>
          <w:rFonts w:cs="Arial"/>
          <w:color w:val="000000" w:themeColor="text1"/>
        </w:rPr>
        <w:t>wa</w:t>
      </w:r>
      <w:r w:rsidR="009F090F" w:rsidRPr="00A71A60">
        <w:rPr>
          <w:rFonts w:cs="Arial"/>
          <w:color w:val="000000" w:themeColor="text1"/>
        </w:rPr>
        <w:t>s</w:t>
      </w:r>
      <w:r w:rsidR="00513B60" w:rsidRPr="00A71A60">
        <w:rPr>
          <w:rFonts w:cs="Arial"/>
          <w:color w:val="000000" w:themeColor="text1"/>
        </w:rPr>
        <w:t xml:space="preserve"> rare</w:t>
      </w:r>
      <w:r w:rsidR="00EF761B" w:rsidRPr="00A71A60">
        <w:rPr>
          <w:rStyle w:val="FootnoteReference"/>
          <w:rFonts w:cs="Arial"/>
          <w:color w:val="000000" w:themeColor="text1"/>
        </w:rPr>
        <w:footnoteReference w:id="24"/>
      </w:r>
      <w:r w:rsidR="00EF761B" w:rsidRPr="00A71A60">
        <w:rPr>
          <w:rFonts w:cs="Arial"/>
          <w:color w:val="000000" w:themeColor="text1"/>
        </w:rPr>
        <w:t xml:space="preserve"> and that assaults against security officers and guards resulting in a workers compensation claim has more than halved</w:t>
      </w:r>
      <w:r w:rsidR="00DE2FBF" w:rsidRPr="00A71A60">
        <w:rPr>
          <w:rFonts w:cs="Arial"/>
          <w:color w:val="000000" w:themeColor="text1"/>
        </w:rPr>
        <w:t>.</w:t>
      </w:r>
      <w:r w:rsidR="001804DF" w:rsidRPr="00A71A60">
        <w:rPr>
          <w:rFonts w:cs="Arial"/>
          <w:color w:val="000000" w:themeColor="text1"/>
        </w:rPr>
        <w:t xml:space="preserve"> </w:t>
      </w:r>
    </w:p>
    <w:p w14:paraId="6AF0EBA7" w14:textId="77777777" w:rsidR="00CC4F24" w:rsidRDefault="00CC4F24" w:rsidP="00CE4F07">
      <w:pPr>
        <w:ind w:right="-205"/>
        <w:jc w:val="both"/>
        <w:rPr>
          <w:rFonts w:cs="Arial"/>
          <w:color w:val="000000" w:themeColor="text1"/>
        </w:rPr>
      </w:pPr>
    </w:p>
    <w:p w14:paraId="6012BB5F" w14:textId="43428B90" w:rsidR="00D83F16" w:rsidRDefault="009A3479" w:rsidP="00CE4F07">
      <w:pPr>
        <w:ind w:right="-205"/>
        <w:jc w:val="both"/>
        <w:rPr>
          <w:rFonts w:cs="Arial"/>
          <w:color w:val="000000" w:themeColor="text1"/>
        </w:rPr>
      </w:pPr>
      <w:r>
        <w:rPr>
          <w:rFonts w:cs="Arial"/>
          <w:color w:val="000000" w:themeColor="text1"/>
        </w:rPr>
        <w:t xml:space="preserve">Whilst we do not support prescribed minimum sentences being introduced for any occupation, it is worth noting that </w:t>
      </w:r>
      <w:r w:rsidR="001576D5">
        <w:rPr>
          <w:rFonts w:cs="Arial"/>
          <w:color w:val="000000" w:themeColor="text1"/>
        </w:rPr>
        <w:t xml:space="preserve">three </w:t>
      </w:r>
      <w:r>
        <w:rPr>
          <w:rFonts w:cs="Arial"/>
          <w:color w:val="000000" w:themeColor="text1"/>
        </w:rPr>
        <w:t>of the five occupations with the highest rates of assault</w:t>
      </w:r>
      <w:r w:rsidR="001576D5">
        <w:rPr>
          <w:rFonts w:cs="Arial"/>
          <w:color w:val="000000" w:themeColor="text1"/>
        </w:rPr>
        <w:t xml:space="preserve"> </w:t>
      </w:r>
      <w:r>
        <w:rPr>
          <w:rFonts w:cs="Arial"/>
          <w:color w:val="000000" w:themeColor="text1"/>
        </w:rPr>
        <w:t xml:space="preserve">are not </w:t>
      </w:r>
      <w:r w:rsidR="00412D73">
        <w:rPr>
          <w:rFonts w:cs="Arial"/>
          <w:color w:val="000000" w:themeColor="text1"/>
        </w:rPr>
        <w:t>included</w:t>
      </w:r>
      <w:r>
        <w:rPr>
          <w:rFonts w:cs="Arial"/>
          <w:color w:val="000000" w:themeColor="text1"/>
        </w:rPr>
        <w:t xml:space="preserve"> in the Bill and </w:t>
      </w:r>
      <w:r w:rsidR="001576D5">
        <w:rPr>
          <w:rFonts w:cs="Arial"/>
          <w:color w:val="000000" w:themeColor="text1"/>
        </w:rPr>
        <w:t xml:space="preserve">only five </w:t>
      </w:r>
      <w:r>
        <w:rPr>
          <w:rFonts w:cs="Arial"/>
          <w:color w:val="000000" w:themeColor="text1"/>
        </w:rPr>
        <w:t>of the top ten</w:t>
      </w:r>
      <w:r w:rsidR="00412D73">
        <w:rPr>
          <w:rFonts w:cs="Arial"/>
          <w:color w:val="000000" w:themeColor="text1"/>
        </w:rPr>
        <w:t xml:space="preserve"> </w:t>
      </w:r>
      <w:r>
        <w:rPr>
          <w:rFonts w:cs="Arial"/>
          <w:color w:val="000000" w:themeColor="text1"/>
        </w:rPr>
        <w:t xml:space="preserve">are </w:t>
      </w:r>
      <w:r w:rsidR="00412D73">
        <w:rPr>
          <w:rFonts w:cs="Arial"/>
          <w:color w:val="000000" w:themeColor="text1"/>
        </w:rPr>
        <w:t>listed</w:t>
      </w:r>
      <w:r>
        <w:rPr>
          <w:rFonts w:cs="Arial"/>
          <w:color w:val="000000" w:themeColor="text1"/>
        </w:rPr>
        <w:t xml:space="preserve">. </w:t>
      </w:r>
    </w:p>
    <w:p w14:paraId="458DEA9A" w14:textId="77777777" w:rsidR="00D83F16" w:rsidRDefault="00D83F16" w:rsidP="00CE4F07">
      <w:pPr>
        <w:ind w:right="-205"/>
        <w:jc w:val="both"/>
        <w:rPr>
          <w:rFonts w:cs="Arial"/>
          <w:color w:val="000000" w:themeColor="text1"/>
        </w:rPr>
      </w:pPr>
    </w:p>
    <w:p w14:paraId="2B61F8A8" w14:textId="38A83F07" w:rsidR="001804DF" w:rsidRPr="001804DF" w:rsidRDefault="001804DF" w:rsidP="001804DF">
      <w:pPr>
        <w:ind w:right="-205"/>
        <w:jc w:val="center"/>
        <w:rPr>
          <w:rFonts w:cs="Arial"/>
          <w:b/>
          <w:bCs/>
          <w:color w:val="000000" w:themeColor="text1"/>
        </w:rPr>
      </w:pPr>
      <w:r w:rsidRPr="001804DF">
        <w:rPr>
          <w:rFonts w:cs="Arial"/>
          <w:b/>
          <w:bCs/>
          <w:color w:val="000000" w:themeColor="text1"/>
        </w:rPr>
        <w:t>Workers Compensation Claims for assaults at work</w:t>
      </w:r>
    </w:p>
    <w:tbl>
      <w:tblPr>
        <w:tblStyle w:val="TableGrid"/>
        <w:tblW w:w="0" w:type="auto"/>
        <w:tblLook w:val="04A0" w:firstRow="1" w:lastRow="0" w:firstColumn="1" w:lastColumn="0" w:noHBand="0" w:noVBand="1"/>
      </w:tblPr>
      <w:tblGrid>
        <w:gridCol w:w="3361"/>
        <w:gridCol w:w="810"/>
        <w:gridCol w:w="785"/>
        <w:gridCol w:w="785"/>
        <w:gridCol w:w="785"/>
        <w:gridCol w:w="785"/>
        <w:gridCol w:w="979"/>
      </w:tblGrid>
      <w:tr w:rsidR="00D83F16" w14:paraId="1F632B83" w14:textId="77777777" w:rsidTr="002A30D5">
        <w:tc>
          <w:tcPr>
            <w:tcW w:w="3361" w:type="dxa"/>
          </w:tcPr>
          <w:p w14:paraId="7D453E82" w14:textId="6F994670" w:rsidR="00D83F16" w:rsidRPr="00D83F16" w:rsidRDefault="00D83F16" w:rsidP="00CE4F07">
            <w:pPr>
              <w:ind w:right="-205"/>
              <w:jc w:val="both"/>
              <w:rPr>
                <w:rFonts w:cs="Arial"/>
                <w:b/>
                <w:bCs/>
                <w:color w:val="000000" w:themeColor="text1"/>
              </w:rPr>
            </w:pPr>
            <w:r w:rsidRPr="00D83F16">
              <w:rPr>
                <w:rFonts w:cs="Arial"/>
                <w:b/>
                <w:bCs/>
                <w:color w:val="000000" w:themeColor="text1"/>
              </w:rPr>
              <w:t>Occupation</w:t>
            </w:r>
          </w:p>
        </w:tc>
        <w:tc>
          <w:tcPr>
            <w:tcW w:w="810" w:type="dxa"/>
          </w:tcPr>
          <w:p w14:paraId="647BF1FE" w14:textId="4DC12751" w:rsidR="00D83F16" w:rsidRPr="00D83F16" w:rsidRDefault="00D83F16" w:rsidP="00CE4F07">
            <w:pPr>
              <w:ind w:right="-205"/>
              <w:jc w:val="both"/>
              <w:rPr>
                <w:rFonts w:cs="Arial"/>
                <w:b/>
                <w:bCs/>
                <w:color w:val="000000" w:themeColor="text1"/>
              </w:rPr>
            </w:pPr>
            <w:r w:rsidRPr="00D83F16">
              <w:rPr>
                <w:rFonts w:cs="Arial"/>
                <w:b/>
                <w:bCs/>
                <w:color w:val="000000" w:themeColor="text1"/>
              </w:rPr>
              <w:t>2019</w:t>
            </w:r>
          </w:p>
        </w:tc>
        <w:tc>
          <w:tcPr>
            <w:tcW w:w="785" w:type="dxa"/>
          </w:tcPr>
          <w:p w14:paraId="01FF855A" w14:textId="02E46693" w:rsidR="00D83F16" w:rsidRPr="00D83F16" w:rsidRDefault="00D83F16" w:rsidP="00CE4F07">
            <w:pPr>
              <w:ind w:right="-205"/>
              <w:jc w:val="both"/>
              <w:rPr>
                <w:rFonts w:cs="Arial"/>
                <w:b/>
                <w:bCs/>
                <w:color w:val="000000" w:themeColor="text1"/>
              </w:rPr>
            </w:pPr>
            <w:r w:rsidRPr="00D83F16">
              <w:rPr>
                <w:rFonts w:cs="Arial"/>
                <w:b/>
                <w:bCs/>
                <w:color w:val="000000" w:themeColor="text1"/>
              </w:rPr>
              <w:t>2020</w:t>
            </w:r>
          </w:p>
        </w:tc>
        <w:tc>
          <w:tcPr>
            <w:tcW w:w="785" w:type="dxa"/>
          </w:tcPr>
          <w:p w14:paraId="42AB8CA3" w14:textId="434CB397" w:rsidR="00D83F16" w:rsidRPr="00D83F16" w:rsidRDefault="00D83F16" w:rsidP="00CE4F07">
            <w:pPr>
              <w:ind w:right="-205"/>
              <w:jc w:val="both"/>
              <w:rPr>
                <w:rFonts w:cs="Arial"/>
                <w:b/>
                <w:bCs/>
                <w:color w:val="000000" w:themeColor="text1"/>
              </w:rPr>
            </w:pPr>
            <w:r w:rsidRPr="00D83F16">
              <w:rPr>
                <w:rFonts w:cs="Arial"/>
                <w:b/>
                <w:bCs/>
                <w:color w:val="000000" w:themeColor="text1"/>
              </w:rPr>
              <w:t>2021</w:t>
            </w:r>
          </w:p>
        </w:tc>
        <w:tc>
          <w:tcPr>
            <w:tcW w:w="785" w:type="dxa"/>
          </w:tcPr>
          <w:p w14:paraId="4A3F12DF" w14:textId="0C58CFE3" w:rsidR="00D83F16" w:rsidRPr="00D83F16" w:rsidRDefault="00D83F16" w:rsidP="00CE4F07">
            <w:pPr>
              <w:ind w:right="-205"/>
              <w:jc w:val="both"/>
              <w:rPr>
                <w:rFonts w:cs="Arial"/>
                <w:b/>
                <w:bCs/>
                <w:color w:val="000000" w:themeColor="text1"/>
              </w:rPr>
            </w:pPr>
            <w:r w:rsidRPr="00D83F16">
              <w:rPr>
                <w:rFonts w:cs="Arial"/>
                <w:b/>
                <w:bCs/>
                <w:color w:val="000000" w:themeColor="text1"/>
              </w:rPr>
              <w:t>2022</w:t>
            </w:r>
          </w:p>
        </w:tc>
        <w:tc>
          <w:tcPr>
            <w:tcW w:w="785" w:type="dxa"/>
          </w:tcPr>
          <w:p w14:paraId="70C3D4B1" w14:textId="65CFC072" w:rsidR="00D83F16" w:rsidRPr="00D83F16" w:rsidRDefault="00D83F16" w:rsidP="00CE4F07">
            <w:pPr>
              <w:ind w:right="-205"/>
              <w:jc w:val="both"/>
              <w:rPr>
                <w:rFonts w:cs="Arial"/>
                <w:b/>
                <w:bCs/>
                <w:color w:val="000000" w:themeColor="text1"/>
              </w:rPr>
            </w:pPr>
            <w:r w:rsidRPr="00D83F16">
              <w:rPr>
                <w:rFonts w:cs="Arial"/>
                <w:b/>
                <w:bCs/>
                <w:color w:val="000000" w:themeColor="text1"/>
              </w:rPr>
              <w:t>2023</w:t>
            </w:r>
          </w:p>
        </w:tc>
        <w:tc>
          <w:tcPr>
            <w:tcW w:w="979" w:type="dxa"/>
          </w:tcPr>
          <w:p w14:paraId="23C388C8" w14:textId="51DAD3C6" w:rsidR="00D83F16" w:rsidRPr="00D83F16" w:rsidRDefault="00D83F16" w:rsidP="00CE4F07">
            <w:pPr>
              <w:ind w:right="-205"/>
              <w:jc w:val="both"/>
              <w:rPr>
                <w:rFonts w:cs="Arial"/>
                <w:b/>
                <w:bCs/>
                <w:color w:val="000000" w:themeColor="text1"/>
              </w:rPr>
            </w:pPr>
            <w:r w:rsidRPr="00D83F16">
              <w:rPr>
                <w:rFonts w:cs="Arial"/>
                <w:b/>
                <w:bCs/>
                <w:color w:val="000000" w:themeColor="text1"/>
              </w:rPr>
              <w:t>TOTAL</w:t>
            </w:r>
          </w:p>
        </w:tc>
      </w:tr>
      <w:tr w:rsidR="002A30D5" w14:paraId="13C3A8B5" w14:textId="77777777" w:rsidTr="002A30D5">
        <w:tc>
          <w:tcPr>
            <w:tcW w:w="3361" w:type="dxa"/>
          </w:tcPr>
          <w:p w14:paraId="583E80F5" w14:textId="6726C30D" w:rsidR="002A30D5" w:rsidRPr="002A30D5" w:rsidRDefault="002A30D5" w:rsidP="002A30D5">
            <w:pPr>
              <w:ind w:right="-205"/>
              <w:rPr>
                <w:rFonts w:cs="Arial"/>
                <w:b/>
                <w:bCs/>
                <w:color w:val="000000" w:themeColor="text1"/>
              </w:rPr>
            </w:pPr>
            <w:r w:rsidRPr="002A30D5">
              <w:rPr>
                <w:rFonts w:cs="Arial"/>
                <w:color w:val="000000" w:themeColor="text1"/>
              </w:rPr>
              <w:t>Nurses and Nurse Aides</w:t>
            </w:r>
          </w:p>
        </w:tc>
        <w:tc>
          <w:tcPr>
            <w:tcW w:w="810" w:type="dxa"/>
          </w:tcPr>
          <w:p w14:paraId="70E60E98" w14:textId="5515A968" w:rsidR="002A30D5" w:rsidRPr="002A30D5" w:rsidRDefault="002A30D5" w:rsidP="002A30D5">
            <w:pPr>
              <w:ind w:right="-205"/>
              <w:jc w:val="center"/>
              <w:rPr>
                <w:rFonts w:cs="Arial"/>
                <w:b/>
                <w:bCs/>
                <w:color w:val="000000" w:themeColor="text1"/>
              </w:rPr>
            </w:pPr>
            <w:r w:rsidRPr="002A30D5">
              <w:rPr>
                <w:rFonts w:cs="Arial"/>
                <w:color w:val="000000" w:themeColor="text1"/>
              </w:rPr>
              <w:t>52</w:t>
            </w:r>
          </w:p>
        </w:tc>
        <w:tc>
          <w:tcPr>
            <w:tcW w:w="785" w:type="dxa"/>
          </w:tcPr>
          <w:p w14:paraId="44CAC405" w14:textId="3B10D2E6" w:rsidR="002A30D5" w:rsidRPr="002A30D5" w:rsidRDefault="002A30D5" w:rsidP="002A30D5">
            <w:pPr>
              <w:ind w:right="-205"/>
              <w:jc w:val="center"/>
              <w:rPr>
                <w:rFonts w:cs="Arial"/>
                <w:b/>
                <w:bCs/>
                <w:color w:val="000000" w:themeColor="text1"/>
              </w:rPr>
            </w:pPr>
            <w:r w:rsidRPr="002A30D5">
              <w:rPr>
                <w:rFonts w:cs="Arial"/>
                <w:color w:val="000000" w:themeColor="text1"/>
              </w:rPr>
              <w:t>42</w:t>
            </w:r>
          </w:p>
        </w:tc>
        <w:tc>
          <w:tcPr>
            <w:tcW w:w="785" w:type="dxa"/>
          </w:tcPr>
          <w:p w14:paraId="31CED5C0" w14:textId="0F778C69" w:rsidR="002A30D5" w:rsidRPr="002A30D5" w:rsidRDefault="002A30D5" w:rsidP="002A30D5">
            <w:pPr>
              <w:ind w:right="-205"/>
              <w:jc w:val="center"/>
              <w:rPr>
                <w:rFonts w:cs="Arial"/>
                <w:b/>
                <w:bCs/>
                <w:color w:val="000000" w:themeColor="text1"/>
              </w:rPr>
            </w:pPr>
            <w:r w:rsidRPr="002A30D5">
              <w:rPr>
                <w:rFonts w:cs="Arial"/>
                <w:color w:val="000000" w:themeColor="text1"/>
              </w:rPr>
              <w:t>61</w:t>
            </w:r>
          </w:p>
        </w:tc>
        <w:tc>
          <w:tcPr>
            <w:tcW w:w="785" w:type="dxa"/>
          </w:tcPr>
          <w:p w14:paraId="66EAE9BC" w14:textId="78525D3A" w:rsidR="002A30D5" w:rsidRPr="002A30D5" w:rsidRDefault="002A30D5" w:rsidP="002A30D5">
            <w:pPr>
              <w:ind w:right="-205"/>
              <w:jc w:val="center"/>
              <w:rPr>
                <w:rFonts w:cs="Arial"/>
                <w:b/>
                <w:bCs/>
                <w:color w:val="000000" w:themeColor="text1"/>
              </w:rPr>
            </w:pPr>
            <w:r w:rsidRPr="002A30D5">
              <w:rPr>
                <w:rFonts w:cs="Arial"/>
                <w:color w:val="000000" w:themeColor="text1"/>
              </w:rPr>
              <w:t>57</w:t>
            </w:r>
          </w:p>
        </w:tc>
        <w:tc>
          <w:tcPr>
            <w:tcW w:w="785" w:type="dxa"/>
          </w:tcPr>
          <w:p w14:paraId="5D15B9F8" w14:textId="0ACF660C" w:rsidR="002A30D5" w:rsidRPr="002A30D5" w:rsidRDefault="002A30D5" w:rsidP="002A30D5">
            <w:pPr>
              <w:ind w:right="-205"/>
              <w:jc w:val="center"/>
              <w:rPr>
                <w:rFonts w:cs="Arial"/>
                <w:b/>
                <w:bCs/>
                <w:color w:val="000000" w:themeColor="text1"/>
              </w:rPr>
            </w:pPr>
            <w:r w:rsidRPr="002A30D5">
              <w:rPr>
                <w:rFonts w:cs="Arial"/>
                <w:color w:val="000000" w:themeColor="text1"/>
              </w:rPr>
              <w:t>77</w:t>
            </w:r>
          </w:p>
        </w:tc>
        <w:tc>
          <w:tcPr>
            <w:tcW w:w="979" w:type="dxa"/>
          </w:tcPr>
          <w:p w14:paraId="258C55C8" w14:textId="518A8418" w:rsidR="002A30D5" w:rsidRPr="002A30D5" w:rsidRDefault="002A30D5" w:rsidP="002A30D5">
            <w:pPr>
              <w:ind w:right="-205"/>
              <w:jc w:val="center"/>
              <w:rPr>
                <w:rFonts w:cs="Arial"/>
                <w:b/>
                <w:bCs/>
                <w:color w:val="000000" w:themeColor="text1"/>
              </w:rPr>
            </w:pPr>
            <w:r w:rsidRPr="002A30D5">
              <w:rPr>
                <w:rFonts w:cs="Arial"/>
                <w:color w:val="000000" w:themeColor="text1"/>
              </w:rPr>
              <w:t>289</w:t>
            </w:r>
          </w:p>
        </w:tc>
      </w:tr>
      <w:tr w:rsidR="002A30D5" w14:paraId="6948BB40" w14:textId="77777777" w:rsidTr="002A30D5">
        <w:tc>
          <w:tcPr>
            <w:tcW w:w="3361" w:type="dxa"/>
          </w:tcPr>
          <w:p w14:paraId="08EB8126" w14:textId="30381C89" w:rsidR="002A30D5" w:rsidRPr="002A30D5" w:rsidRDefault="002A30D5" w:rsidP="002A30D5">
            <w:pPr>
              <w:ind w:right="-205"/>
              <w:rPr>
                <w:rFonts w:cs="Arial"/>
                <w:color w:val="000000" w:themeColor="text1"/>
              </w:rPr>
            </w:pPr>
            <w:r w:rsidRPr="002A30D5">
              <w:rPr>
                <w:rFonts w:cs="Arial"/>
                <w:color w:val="000000" w:themeColor="text1"/>
              </w:rPr>
              <w:t>Special Care Workers</w:t>
            </w:r>
          </w:p>
        </w:tc>
        <w:tc>
          <w:tcPr>
            <w:tcW w:w="810" w:type="dxa"/>
          </w:tcPr>
          <w:p w14:paraId="4DC63F5C" w14:textId="73AB7B8C" w:rsidR="002A30D5" w:rsidRPr="002A30D5" w:rsidRDefault="002A30D5" w:rsidP="002A30D5">
            <w:pPr>
              <w:ind w:right="-205"/>
              <w:jc w:val="center"/>
              <w:rPr>
                <w:rFonts w:cs="Arial"/>
                <w:color w:val="000000" w:themeColor="text1"/>
              </w:rPr>
            </w:pPr>
            <w:r w:rsidRPr="002A30D5">
              <w:rPr>
                <w:rFonts w:cs="Arial"/>
                <w:color w:val="000000" w:themeColor="text1"/>
              </w:rPr>
              <w:t>29</w:t>
            </w:r>
          </w:p>
        </w:tc>
        <w:tc>
          <w:tcPr>
            <w:tcW w:w="785" w:type="dxa"/>
          </w:tcPr>
          <w:p w14:paraId="49797ADF" w14:textId="14AFAA84" w:rsidR="002A30D5" w:rsidRPr="002A30D5" w:rsidRDefault="002A30D5" w:rsidP="002A30D5">
            <w:pPr>
              <w:ind w:right="-205"/>
              <w:jc w:val="center"/>
              <w:rPr>
                <w:rFonts w:cs="Arial"/>
                <w:color w:val="000000" w:themeColor="text1"/>
              </w:rPr>
            </w:pPr>
            <w:r w:rsidRPr="002A30D5">
              <w:rPr>
                <w:rFonts w:cs="Arial"/>
                <w:color w:val="000000" w:themeColor="text1"/>
              </w:rPr>
              <w:t>33</w:t>
            </w:r>
          </w:p>
        </w:tc>
        <w:tc>
          <w:tcPr>
            <w:tcW w:w="785" w:type="dxa"/>
          </w:tcPr>
          <w:p w14:paraId="546B9DAB" w14:textId="322D38C9" w:rsidR="002A30D5" w:rsidRPr="002A30D5" w:rsidRDefault="002A30D5" w:rsidP="002A30D5">
            <w:pPr>
              <w:ind w:right="-205"/>
              <w:jc w:val="center"/>
              <w:rPr>
                <w:rFonts w:cs="Arial"/>
                <w:color w:val="000000" w:themeColor="text1"/>
              </w:rPr>
            </w:pPr>
            <w:r w:rsidRPr="002A30D5">
              <w:rPr>
                <w:rFonts w:cs="Arial"/>
                <w:color w:val="000000" w:themeColor="text1"/>
              </w:rPr>
              <w:t>36</w:t>
            </w:r>
          </w:p>
        </w:tc>
        <w:tc>
          <w:tcPr>
            <w:tcW w:w="785" w:type="dxa"/>
          </w:tcPr>
          <w:p w14:paraId="3F8C8F19" w14:textId="0BE83EA8" w:rsidR="002A30D5" w:rsidRPr="002A30D5" w:rsidRDefault="002A30D5" w:rsidP="002A30D5">
            <w:pPr>
              <w:ind w:right="-205"/>
              <w:jc w:val="center"/>
              <w:rPr>
                <w:rFonts w:cs="Arial"/>
                <w:color w:val="000000" w:themeColor="text1"/>
              </w:rPr>
            </w:pPr>
            <w:r w:rsidRPr="002A30D5">
              <w:rPr>
                <w:rFonts w:cs="Arial"/>
                <w:color w:val="000000" w:themeColor="text1"/>
              </w:rPr>
              <w:t>38</w:t>
            </w:r>
          </w:p>
        </w:tc>
        <w:tc>
          <w:tcPr>
            <w:tcW w:w="785" w:type="dxa"/>
          </w:tcPr>
          <w:p w14:paraId="0E5A9417" w14:textId="67B85905" w:rsidR="002A30D5" w:rsidRPr="002A30D5" w:rsidRDefault="002A30D5" w:rsidP="002A30D5">
            <w:pPr>
              <w:ind w:right="-205"/>
              <w:jc w:val="center"/>
              <w:rPr>
                <w:rFonts w:cs="Arial"/>
                <w:color w:val="000000" w:themeColor="text1"/>
              </w:rPr>
            </w:pPr>
            <w:r w:rsidRPr="002A30D5">
              <w:rPr>
                <w:rFonts w:cs="Arial"/>
                <w:color w:val="000000" w:themeColor="text1"/>
              </w:rPr>
              <w:t>37</w:t>
            </w:r>
          </w:p>
        </w:tc>
        <w:tc>
          <w:tcPr>
            <w:tcW w:w="979" w:type="dxa"/>
          </w:tcPr>
          <w:p w14:paraId="43F0004F" w14:textId="263BF22E" w:rsidR="002A30D5" w:rsidRPr="002A30D5" w:rsidRDefault="002A30D5" w:rsidP="002A30D5">
            <w:pPr>
              <w:ind w:right="-205"/>
              <w:jc w:val="center"/>
              <w:rPr>
                <w:rFonts w:cs="Arial"/>
                <w:color w:val="000000" w:themeColor="text1"/>
              </w:rPr>
            </w:pPr>
            <w:r w:rsidRPr="002A30D5">
              <w:rPr>
                <w:rFonts w:cs="Arial"/>
                <w:color w:val="000000" w:themeColor="text1"/>
              </w:rPr>
              <w:t>173</w:t>
            </w:r>
          </w:p>
        </w:tc>
      </w:tr>
      <w:tr w:rsidR="002A30D5" w14:paraId="58D8C743" w14:textId="77777777" w:rsidTr="002A30D5">
        <w:tc>
          <w:tcPr>
            <w:tcW w:w="3361" w:type="dxa"/>
          </w:tcPr>
          <w:p w14:paraId="3C61958A" w14:textId="217A96CF" w:rsidR="002A30D5" w:rsidRPr="002A30D5" w:rsidRDefault="002A30D5" w:rsidP="002A30D5">
            <w:pPr>
              <w:ind w:right="-205"/>
              <w:rPr>
                <w:rFonts w:cs="Arial"/>
                <w:color w:val="000000" w:themeColor="text1"/>
              </w:rPr>
            </w:pPr>
            <w:r w:rsidRPr="002A30D5">
              <w:rPr>
                <w:rFonts w:cs="Arial"/>
                <w:color w:val="000000" w:themeColor="text1"/>
              </w:rPr>
              <w:t>Teachers and Teacher Aides</w:t>
            </w:r>
          </w:p>
        </w:tc>
        <w:tc>
          <w:tcPr>
            <w:tcW w:w="810" w:type="dxa"/>
          </w:tcPr>
          <w:p w14:paraId="06B2A095" w14:textId="76F838C5" w:rsidR="002A30D5" w:rsidRPr="002A30D5" w:rsidRDefault="002A30D5" w:rsidP="002A30D5">
            <w:pPr>
              <w:ind w:right="-205"/>
              <w:jc w:val="center"/>
              <w:rPr>
                <w:rFonts w:cs="Arial"/>
                <w:color w:val="000000" w:themeColor="text1"/>
              </w:rPr>
            </w:pPr>
            <w:r w:rsidRPr="002A30D5">
              <w:rPr>
                <w:rFonts w:cs="Arial"/>
                <w:color w:val="000000" w:themeColor="text1"/>
              </w:rPr>
              <w:t>24</w:t>
            </w:r>
          </w:p>
        </w:tc>
        <w:tc>
          <w:tcPr>
            <w:tcW w:w="785" w:type="dxa"/>
          </w:tcPr>
          <w:p w14:paraId="0DC7389E" w14:textId="2BA6D8E6" w:rsidR="002A30D5" w:rsidRPr="002A30D5" w:rsidRDefault="002A30D5" w:rsidP="002A30D5">
            <w:pPr>
              <w:ind w:right="-205"/>
              <w:jc w:val="center"/>
              <w:rPr>
                <w:rFonts w:cs="Arial"/>
                <w:color w:val="000000" w:themeColor="text1"/>
              </w:rPr>
            </w:pPr>
            <w:r w:rsidRPr="002A30D5">
              <w:rPr>
                <w:rFonts w:cs="Arial"/>
                <w:color w:val="000000" w:themeColor="text1"/>
              </w:rPr>
              <w:t>14</w:t>
            </w:r>
          </w:p>
        </w:tc>
        <w:tc>
          <w:tcPr>
            <w:tcW w:w="785" w:type="dxa"/>
          </w:tcPr>
          <w:p w14:paraId="2ED3B9A0" w14:textId="3ADBC8CC" w:rsidR="002A30D5" w:rsidRPr="002A30D5" w:rsidRDefault="002A30D5" w:rsidP="002A30D5">
            <w:pPr>
              <w:ind w:right="-205"/>
              <w:jc w:val="center"/>
              <w:rPr>
                <w:rFonts w:cs="Arial"/>
                <w:color w:val="000000" w:themeColor="text1"/>
              </w:rPr>
            </w:pPr>
            <w:r w:rsidRPr="002A30D5">
              <w:rPr>
                <w:rFonts w:cs="Arial"/>
                <w:color w:val="000000" w:themeColor="text1"/>
              </w:rPr>
              <w:t>23</w:t>
            </w:r>
          </w:p>
        </w:tc>
        <w:tc>
          <w:tcPr>
            <w:tcW w:w="785" w:type="dxa"/>
          </w:tcPr>
          <w:p w14:paraId="0B84F9C2" w14:textId="1CB2FA66" w:rsidR="002A30D5" w:rsidRPr="002A30D5" w:rsidRDefault="002A30D5" w:rsidP="002A30D5">
            <w:pPr>
              <w:ind w:right="-205"/>
              <w:jc w:val="center"/>
              <w:rPr>
                <w:rFonts w:cs="Arial"/>
                <w:color w:val="000000" w:themeColor="text1"/>
              </w:rPr>
            </w:pPr>
            <w:r w:rsidRPr="002A30D5">
              <w:rPr>
                <w:rFonts w:cs="Arial"/>
                <w:color w:val="000000" w:themeColor="text1"/>
              </w:rPr>
              <w:t>22</w:t>
            </w:r>
          </w:p>
        </w:tc>
        <w:tc>
          <w:tcPr>
            <w:tcW w:w="785" w:type="dxa"/>
          </w:tcPr>
          <w:p w14:paraId="076E37A9" w14:textId="193CEF0D" w:rsidR="002A30D5" w:rsidRPr="002A30D5" w:rsidRDefault="002A30D5" w:rsidP="002A30D5">
            <w:pPr>
              <w:ind w:right="-205"/>
              <w:jc w:val="center"/>
              <w:rPr>
                <w:rFonts w:cs="Arial"/>
                <w:color w:val="000000" w:themeColor="text1"/>
              </w:rPr>
            </w:pPr>
            <w:r w:rsidRPr="002A30D5">
              <w:rPr>
                <w:rFonts w:cs="Arial"/>
                <w:color w:val="000000" w:themeColor="text1"/>
              </w:rPr>
              <w:t>40</w:t>
            </w:r>
          </w:p>
        </w:tc>
        <w:tc>
          <w:tcPr>
            <w:tcW w:w="979" w:type="dxa"/>
          </w:tcPr>
          <w:p w14:paraId="2A59FA01" w14:textId="51AB90F3" w:rsidR="002A30D5" w:rsidRPr="002A30D5" w:rsidRDefault="002A30D5" w:rsidP="002A30D5">
            <w:pPr>
              <w:ind w:right="-205"/>
              <w:jc w:val="center"/>
              <w:rPr>
                <w:rFonts w:cs="Arial"/>
                <w:color w:val="000000" w:themeColor="text1"/>
              </w:rPr>
            </w:pPr>
            <w:r w:rsidRPr="002A30D5">
              <w:rPr>
                <w:rFonts w:cs="Arial"/>
                <w:color w:val="000000" w:themeColor="text1"/>
              </w:rPr>
              <w:t>123</w:t>
            </w:r>
          </w:p>
        </w:tc>
      </w:tr>
      <w:tr w:rsidR="002A30D5" w14:paraId="05E472E1" w14:textId="77777777" w:rsidTr="002A30D5">
        <w:tc>
          <w:tcPr>
            <w:tcW w:w="3361" w:type="dxa"/>
          </w:tcPr>
          <w:p w14:paraId="192B6B95" w14:textId="70883179" w:rsidR="002A30D5" w:rsidRPr="002A30D5" w:rsidRDefault="002A30D5" w:rsidP="002A30D5">
            <w:pPr>
              <w:ind w:right="-205"/>
              <w:rPr>
                <w:rFonts w:cs="Arial"/>
                <w:color w:val="000000" w:themeColor="text1"/>
              </w:rPr>
            </w:pPr>
            <w:r w:rsidRPr="002A30D5">
              <w:rPr>
                <w:rFonts w:cs="Arial"/>
                <w:color w:val="000000" w:themeColor="text1"/>
              </w:rPr>
              <w:t>Police Officers</w:t>
            </w:r>
          </w:p>
        </w:tc>
        <w:tc>
          <w:tcPr>
            <w:tcW w:w="810" w:type="dxa"/>
          </w:tcPr>
          <w:p w14:paraId="31CAF119" w14:textId="33DEDEE7" w:rsidR="002A30D5" w:rsidRPr="002A30D5" w:rsidRDefault="002A30D5" w:rsidP="002A30D5">
            <w:pPr>
              <w:ind w:right="-205"/>
              <w:jc w:val="center"/>
              <w:rPr>
                <w:rFonts w:cs="Arial"/>
                <w:color w:val="000000" w:themeColor="text1"/>
              </w:rPr>
            </w:pPr>
            <w:r w:rsidRPr="002A30D5">
              <w:rPr>
                <w:rFonts w:cs="Arial"/>
                <w:color w:val="000000" w:themeColor="text1"/>
              </w:rPr>
              <w:t>20</w:t>
            </w:r>
          </w:p>
        </w:tc>
        <w:tc>
          <w:tcPr>
            <w:tcW w:w="785" w:type="dxa"/>
          </w:tcPr>
          <w:p w14:paraId="519007E0" w14:textId="081A05C9" w:rsidR="002A30D5" w:rsidRPr="002A30D5" w:rsidRDefault="002A30D5" w:rsidP="002A30D5">
            <w:pPr>
              <w:ind w:right="-205"/>
              <w:jc w:val="center"/>
              <w:rPr>
                <w:rFonts w:cs="Arial"/>
                <w:color w:val="000000" w:themeColor="text1"/>
              </w:rPr>
            </w:pPr>
            <w:r w:rsidRPr="002A30D5">
              <w:rPr>
                <w:rFonts w:cs="Arial"/>
                <w:color w:val="000000" w:themeColor="text1"/>
              </w:rPr>
              <w:t>26</w:t>
            </w:r>
          </w:p>
        </w:tc>
        <w:tc>
          <w:tcPr>
            <w:tcW w:w="785" w:type="dxa"/>
          </w:tcPr>
          <w:p w14:paraId="1D8AF445" w14:textId="695C9688" w:rsidR="002A30D5" w:rsidRPr="002A30D5" w:rsidRDefault="002A30D5" w:rsidP="002A30D5">
            <w:pPr>
              <w:ind w:right="-205"/>
              <w:jc w:val="center"/>
              <w:rPr>
                <w:rFonts w:cs="Arial"/>
                <w:color w:val="000000" w:themeColor="text1"/>
              </w:rPr>
            </w:pPr>
            <w:r w:rsidRPr="002A30D5">
              <w:rPr>
                <w:rFonts w:cs="Arial"/>
                <w:color w:val="000000" w:themeColor="text1"/>
              </w:rPr>
              <w:t>16</w:t>
            </w:r>
          </w:p>
        </w:tc>
        <w:tc>
          <w:tcPr>
            <w:tcW w:w="785" w:type="dxa"/>
          </w:tcPr>
          <w:p w14:paraId="76C9B103" w14:textId="2007C72F" w:rsidR="002A30D5" w:rsidRPr="002A30D5" w:rsidRDefault="002A30D5" w:rsidP="002A30D5">
            <w:pPr>
              <w:ind w:right="-205"/>
              <w:jc w:val="center"/>
              <w:rPr>
                <w:rFonts w:cs="Arial"/>
                <w:color w:val="000000" w:themeColor="text1"/>
              </w:rPr>
            </w:pPr>
            <w:r w:rsidRPr="002A30D5">
              <w:rPr>
                <w:rFonts w:cs="Arial"/>
                <w:color w:val="000000" w:themeColor="text1"/>
              </w:rPr>
              <w:t>18</w:t>
            </w:r>
          </w:p>
        </w:tc>
        <w:tc>
          <w:tcPr>
            <w:tcW w:w="785" w:type="dxa"/>
          </w:tcPr>
          <w:p w14:paraId="3298B7E7" w14:textId="65711F81" w:rsidR="002A30D5" w:rsidRPr="002A30D5" w:rsidRDefault="002A30D5" w:rsidP="002A30D5">
            <w:pPr>
              <w:ind w:right="-205"/>
              <w:jc w:val="center"/>
              <w:rPr>
                <w:rFonts w:cs="Arial"/>
                <w:color w:val="000000" w:themeColor="text1"/>
              </w:rPr>
            </w:pPr>
            <w:r w:rsidRPr="002A30D5">
              <w:rPr>
                <w:rFonts w:cs="Arial"/>
                <w:color w:val="000000" w:themeColor="text1"/>
              </w:rPr>
              <w:t>22</w:t>
            </w:r>
          </w:p>
        </w:tc>
        <w:tc>
          <w:tcPr>
            <w:tcW w:w="979" w:type="dxa"/>
          </w:tcPr>
          <w:p w14:paraId="27D3DD7B" w14:textId="3FD27201" w:rsidR="002A30D5" w:rsidRPr="002A30D5" w:rsidRDefault="002A30D5" w:rsidP="002A30D5">
            <w:pPr>
              <w:ind w:right="-205"/>
              <w:jc w:val="center"/>
              <w:rPr>
                <w:rFonts w:cs="Arial"/>
                <w:color w:val="000000" w:themeColor="text1"/>
              </w:rPr>
            </w:pPr>
            <w:r w:rsidRPr="002A30D5">
              <w:rPr>
                <w:rFonts w:cs="Arial"/>
                <w:color w:val="000000" w:themeColor="text1"/>
              </w:rPr>
              <w:t>102</w:t>
            </w:r>
          </w:p>
        </w:tc>
      </w:tr>
      <w:tr w:rsidR="002A30D5" w14:paraId="0E955306" w14:textId="77777777" w:rsidTr="002A30D5">
        <w:tc>
          <w:tcPr>
            <w:tcW w:w="3361" w:type="dxa"/>
          </w:tcPr>
          <w:p w14:paraId="405FC549" w14:textId="4B5EBF2D" w:rsidR="002A30D5" w:rsidRPr="002A30D5" w:rsidRDefault="002A30D5" w:rsidP="002A30D5">
            <w:pPr>
              <w:ind w:right="-205"/>
              <w:rPr>
                <w:rFonts w:cs="Arial"/>
                <w:color w:val="000000" w:themeColor="text1"/>
              </w:rPr>
            </w:pPr>
            <w:r w:rsidRPr="002A30D5">
              <w:rPr>
                <w:rFonts w:cs="Arial"/>
                <w:color w:val="000000" w:themeColor="text1"/>
              </w:rPr>
              <w:t>Welfare Associate Professionals</w:t>
            </w:r>
          </w:p>
        </w:tc>
        <w:tc>
          <w:tcPr>
            <w:tcW w:w="810" w:type="dxa"/>
          </w:tcPr>
          <w:p w14:paraId="35204B40" w14:textId="0CD8F559" w:rsidR="002A30D5" w:rsidRPr="002A30D5" w:rsidRDefault="002A30D5" w:rsidP="002A30D5">
            <w:pPr>
              <w:ind w:right="-205"/>
              <w:jc w:val="center"/>
              <w:rPr>
                <w:rFonts w:cs="Arial"/>
                <w:color w:val="000000" w:themeColor="text1"/>
              </w:rPr>
            </w:pPr>
            <w:r w:rsidRPr="002A30D5">
              <w:rPr>
                <w:rFonts w:cs="Arial"/>
                <w:color w:val="000000" w:themeColor="text1"/>
              </w:rPr>
              <w:t>14</w:t>
            </w:r>
          </w:p>
        </w:tc>
        <w:tc>
          <w:tcPr>
            <w:tcW w:w="785" w:type="dxa"/>
          </w:tcPr>
          <w:p w14:paraId="32F3A5E6" w14:textId="7A48FC32" w:rsidR="002A30D5" w:rsidRPr="002A30D5" w:rsidRDefault="002A30D5" w:rsidP="002A30D5">
            <w:pPr>
              <w:ind w:right="-205"/>
              <w:jc w:val="center"/>
              <w:rPr>
                <w:rFonts w:cs="Arial"/>
                <w:color w:val="000000" w:themeColor="text1"/>
              </w:rPr>
            </w:pPr>
            <w:r w:rsidRPr="002A30D5">
              <w:rPr>
                <w:rFonts w:cs="Arial"/>
                <w:color w:val="000000" w:themeColor="text1"/>
              </w:rPr>
              <w:t>14</w:t>
            </w:r>
          </w:p>
        </w:tc>
        <w:tc>
          <w:tcPr>
            <w:tcW w:w="785" w:type="dxa"/>
          </w:tcPr>
          <w:p w14:paraId="4830459E" w14:textId="5CFFF217" w:rsidR="002A30D5" w:rsidRPr="002A30D5" w:rsidRDefault="002A30D5" w:rsidP="002A30D5">
            <w:pPr>
              <w:ind w:right="-205"/>
              <w:jc w:val="center"/>
              <w:rPr>
                <w:rFonts w:cs="Arial"/>
                <w:color w:val="000000" w:themeColor="text1"/>
              </w:rPr>
            </w:pPr>
            <w:r w:rsidRPr="002A30D5">
              <w:rPr>
                <w:rFonts w:cs="Arial"/>
                <w:color w:val="000000" w:themeColor="text1"/>
              </w:rPr>
              <w:t>16</w:t>
            </w:r>
          </w:p>
        </w:tc>
        <w:tc>
          <w:tcPr>
            <w:tcW w:w="785" w:type="dxa"/>
          </w:tcPr>
          <w:p w14:paraId="7EEB88CC" w14:textId="61F733CC" w:rsidR="002A30D5" w:rsidRPr="002A30D5" w:rsidRDefault="002A30D5" w:rsidP="002A30D5">
            <w:pPr>
              <w:ind w:right="-205"/>
              <w:jc w:val="center"/>
              <w:rPr>
                <w:rFonts w:cs="Arial"/>
                <w:color w:val="000000" w:themeColor="text1"/>
              </w:rPr>
            </w:pPr>
            <w:r w:rsidRPr="002A30D5">
              <w:rPr>
                <w:rFonts w:cs="Arial"/>
                <w:color w:val="000000" w:themeColor="text1"/>
              </w:rPr>
              <w:t>20</w:t>
            </w:r>
          </w:p>
        </w:tc>
        <w:tc>
          <w:tcPr>
            <w:tcW w:w="785" w:type="dxa"/>
          </w:tcPr>
          <w:p w14:paraId="2CEC087A" w14:textId="638AF1F9" w:rsidR="002A30D5" w:rsidRPr="002A30D5" w:rsidRDefault="002A30D5" w:rsidP="002A30D5">
            <w:pPr>
              <w:ind w:right="-205"/>
              <w:jc w:val="center"/>
              <w:rPr>
                <w:rFonts w:cs="Arial"/>
                <w:color w:val="000000" w:themeColor="text1"/>
              </w:rPr>
            </w:pPr>
            <w:r w:rsidRPr="002A30D5">
              <w:rPr>
                <w:rFonts w:cs="Arial"/>
                <w:color w:val="000000" w:themeColor="text1"/>
              </w:rPr>
              <w:t>16</w:t>
            </w:r>
          </w:p>
        </w:tc>
        <w:tc>
          <w:tcPr>
            <w:tcW w:w="979" w:type="dxa"/>
          </w:tcPr>
          <w:p w14:paraId="760DE84A" w14:textId="6471C7A1" w:rsidR="002A30D5" w:rsidRPr="002A30D5" w:rsidRDefault="002A30D5" w:rsidP="002A30D5">
            <w:pPr>
              <w:ind w:right="-205"/>
              <w:jc w:val="center"/>
              <w:rPr>
                <w:rFonts w:cs="Arial"/>
                <w:color w:val="000000" w:themeColor="text1"/>
              </w:rPr>
            </w:pPr>
            <w:r w:rsidRPr="002A30D5">
              <w:rPr>
                <w:rFonts w:cs="Arial"/>
                <w:color w:val="000000" w:themeColor="text1"/>
              </w:rPr>
              <w:t>80</w:t>
            </w:r>
          </w:p>
        </w:tc>
      </w:tr>
      <w:tr w:rsidR="002A30D5" w14:paraId="5CC663FF" w14:textId="77777777" w:rsidTr="002A30D5">
        <w:tc>
          <w:tcPr>
            <w:tcW w:w="3361" w:type="dxa"/>
          </w:tcPr>
          <w:p w14:paraId="1FE7883B" w14:textId="5276AA4D" w:rsidR="002A30D5" w:rsidRPr="002A30D5" w:rsidRDefault="002A30D5" w:rsidP="002A30D5">
            <w:pPr>
              <w:ind w:right="-205"/>
              <w:rPr>
                <w:rFonts w:cs="Arial"/>
                <w:color w:val="000000" w:themeColor="text1"/>
              </w:rPr>
            </w:pPr>
            <w:r w:rsidRPr="002A30D5">
              <w:rPr>
                <w:rFonts w:cs="Arial"/>
                <w:color w:val="000000" w:themeColor="text1"/>
              </w:rPr>
              <w:t>Prison Officers</w:t>
            </w:r>
          </w:p>
        </w:tc>
        <w:tc>
          <w:tcPr>
            <w:tcW w:w="810" w:type="dxa"/>
          </w:tcPr>
          <w:p w14:paraId="1061FC21" w14:textId="2D701BEC" w:rsidR="002A30D5" w:rsidRPr="002A30D5" w:rsidRDefault="002A30D5" w:rsidP="002A30D5">
            <w:pPr>
              <w:ind w:right="-205"/>
              <w:jc w:val="center"/>
              <w:rPr>
                <w:rFonts w:cs="Arial"/>
                <w:color w:val="000000" w:themeColor="text1"/>
              </w:rPr>
            </w:pPr>
            <w:r w:rsidRPr="002A30D5">
              <w:rPr>
                <w:rFonts w:cs="Arial"/>
                <w:color w:val="000000" w:themeColor="text1"/>
              </w:rPr>
              <w:t>14</w:t>
            </w:r>
          </w:p>
        </w:tc>
        <w:tc>
          <w:tcPr>
            <w:tcW w:w="785" w:type="dxa"/>
          </w:tcPr>
          <w:p w14:paraId="1A123669" w14:textId="40EBFF4E" w:rsidR="002A30D5" w:rsidRPr="002A30D5" w:rsidRDefault="002A30D5" w:rsidP="002A30D5">
            <w:pPr>
              <w:ind w:right="-205"/>
              <w:jc w:val="center"/>
              <w:rPr>
                <w:rFonts w:cs="Arial"/>
                <w:color w:val="000000" w:themeColor="text1"/>
              </w:rPr>
            </w:pPr>
            <w:r w:rsidRPr="002A30D5">
              <w:rPr>
                <w:rFonts w:cs="Arial"/>
                <w:color w:val="000000" w:themeColor="text1"/>
              </w:rPr>
              <w:t>11</w:t>
            </w:r>
          </w:p>
        </w:tc>
        <w:tc>
          <w:tcPr>
            <w:tcW w:w="785" w:type="dxa"/>
          </w:tcPr>
          <w:p w14:paraId="47BE2B5E" w14:textId="38AE339F" w:rsidR="002A30D5" w:rsidRPr="002A30D5" w:rsidRDefault="002A30D5" w:rsidP="002A30D5">
            <w:pPr>
              <w:ind w:right="-205"/>
              <w:jc w:val="center"/>
              <w:rPr>
                <w:rFonts w:cs="Arial"/>
                <w:color w:val="000000" w:themeColor="text1"/>
              </w:rPr>
            </w:pPr>
            <w:r w:rsidRPr="002A30D5">
              <w:rPr>
                <w:rFonts w:cs="Arial"/>
                <w:color w:val="000000" w:themeColor="text1"/>
              </w:rPr>
              <w:t>17</w:t>
            </w:r>
          </w:p>
        </w:tc>
        <w:tc>
          <w:tcPr>
            <w:tcW w:w="785" w:type="dxa"/>
          </w:tcPr>
          <w:p w14:paraId="65928B17" w14:textId="0DFF1DE7" w:rsidR="002A30D5" w:rsidRPr="002A30D5" w:rsidRDefault="002A30D5" w:rsidP="002A30D5">
            <w:pPr>
              <w:ind w:right="-205"/>
              <w:jc w:val="center"/>
              <w:rPr>
                <w:rFonts w:cs="Arial"/>
                <w:color w:val="000000" w:themeColor="text1"/>
              </w:rPr>
            </w:pPr>
            <w:r w:rsidRPr="002A30D5">
              <w:rPr>
                <w:rFonts w:cs="Arial"/>
                <w:color w:val="000000" w:themeColor="text1"/>
              </w:rPr>
              <w:t>24</w:t>
            </w:r>
          </w:p>
        </w:tc>
        <w:tc>
          <w:tcPr>
            <w:tcW w:w="785" w:type="dxa"/>
          </w:tcPr>
          <w:p w14:paraId="41EED84F" w14:textId="0F2AD0CE" w:rsidR="002A30D5" w:rsidRPr="002A30D5" w:rsidRDefault="002A30D5" w:rsidP="002A30D5">
            <w:pPr>
              <w:ind w:right="-205"/>
              <w:jc w:val="center"/>
              <w:rPr>
                <w:rFonts w:cs="Arial"/>
                <w:color w:val="000000" w:themeColor="text1"/>
              </w:rPr>
            </w:pPr>
            <w:r w:rsidRPr="002A30D5">
              <w:rPr>
                <w:rFonts w:cs="Arial"/>
                <w:color w:val="000000" w:themeColor="text1"/>
              </w:rPr>
              <w:t>10</w:t>
            </w:r>
          </w:p>
        </w:tc>
        <w:tc>
          <w:tcPr>
            <w:tcW w:w="979" w:type="dxa"/>
          </w:tcPr>
          <w:p w14:paraId="02ED1835" w14:textId="789936EA" w:rsidR="002A30D5" w:rsidRPr="002A30D5" w:rsidRDefault="002A30D5" w:rsidP="002A30D5">
            <w:pPr>
              <w:ind w:right="-205"/>
              <w:jc w:val="center"/>
              <w:rPr>
                <w:rFonts w:cs="Arial"/>
                <w:color w:val="000000" w:themeColor="text1"/>
              </w:rPr>
            </w:pPr>
            <w:r w:rsidRPr="002A30D5">
              <w:rPr>
                <w:rFonts w:cs="Arial"/>
                <w:color w:val="000000" w:themeColor="text1"/>
              </w:rPr>
              <w:t>76</w:t>
            </w:r>
          </w:p>
        </w:tc>
      </w:tr>
      <w:tr w:rsidR="002A30D5" w14:paraId="5C0A8EAC" w14:textId="77777777" w:rsidTr="002A30D5">
        <w:tc>
          <w:tcPr>
            <w:tcW w:w="3361" w:type="dxa"/>
          </w:tcPr>
          <w:p w14:paraId="7A3740DB" w14:textId="35CA4EC4" w:rsidR="002A30D5" w:rsidRPr="002A30D5" w:rsidRDefault="002A30D5" w:rsidP="002A30D5">
            <w:pPr>
              <w:ind w:right="-205"/>
              <w:rPr>
                <w:rFonts w:cs="Arial"/>
                <w:color w:val="000000" w:themeColor="text1"/>
              </w:rPr>
            </w:pPr>
            <w:r w:rsidRPr="002A30D5">
              <w:rPr>
                <w:rFonts w:cs="Arial"/>
                <w:color w:val="000000" w:themeColor="text1"/>
              </w:rPr>
              <w:t>Bus and Coach Drivers</w:t>
            </w:r>
          </w:p>
        </w:tc>
        <w:tc>
          <w:tcPr>
            <w:tcW w:w="810" w:type="dxa"/>
          </w:tcPr>
          <w:p w14:paraId="34C01D27" w14:textId="2D3C8AEC" w:rsidR="002A30D5" w:rsidRPr="002A30D5" w:rsidRDefault="002A30D5" w:rsidP="002A30D5">
            <w:pPr>
              <w:ind w:right="-205"/>
              <w:jc w:val="center"/>
              <w:rPr>
                <w:rFonts w:cs="Arial"/>
                <w:color w:val="000000" w:themeColor="text1"/>
              </w:rPr>
            </w:pPr>
            <w:r w:rsidRPr="002A30D5">
              <w:rPr>
                <w:rFonts w:cs="Arial"/>
                <w:color w:val="000000" w:themeColor="text1"/>
              </w:rPr>
              <w:t>2</w:t>
            </w:r>
          </w:p>
        </w:tc>
        <w:tc>
          <w:tcPr>
            <w:tcW w:w="785" w:type="dxa"/>
          </w:tcPr>
          <w:p w14:paraId="492B23EE" w14:textId="06AA51C9" w:rsidR="002A30D5" w:rsidRPr="002A30D5" w:rsidRDefault="002A30D5" w:rsidP="002A30D5">
            <w:pPr>
              <w:ind w:right="-205"/>
              <w:jc w:val="center"/>
              <w:rPr>
                <w:rFonts w:cs="Arial"/>
                <w:color w:val="000000" w:themeColor="text1"/>
              </w:rPr>
            </w:pPr>
            <w:r w:rsidRPr="002A30D5">
              <w:rPr>
                <w:rFonts w:cs="Arial"/>
                <w:color w:val="000000" w:themeColor="text1"/>
              </w:rPr>
              <w:t>2</w:t>
            </w:r>
          </w:p>
        </w:tc>
        <w:tc>
          <w:tcPr>
            <w:tcW w:w="785" w:type="dxa"/>
          </w:tcPr>
          <w:p w14:paraId="170E353C" w14:textId="4F103B86" w:rsidR="002A30D5" w:rsidRPr="002A30D5" w:rsidRDefault="002A30D5" w:rsidP="002A30D5">
            <w:pPr>
              <w:ind w:right="-205"/>
              <w:jc w:val="center"/>
              <w:rPr>
                <w:rFonts w:cs="Arial"/>
                <w:color w:val="000000" w:themeColor="text1"/>
              </w:rPr>
            </w:pPr>
            <w:r w:rsidRPr="002A30D5">
              <w:rPr>
                <w:rFonts w:cs="Arial"/>
                <w:color w:val="000000" w:themeColor="text1"/>
              </w:rPr>
              <w:t>6</w:t>
            </w:r>
          </w:p>
        </w:tc>
        <w:tc>
          <w:tcPr>
            <w:tcW w:w="785" w:type="dxa"/>
          </w:tcPr>
          <w:p w14:paraId="171CF51F" w14:textId="3CC863AA" w:rsidR="002A30D5" w:rsidRPr="002A30D5" w:rsidRDefault="002A30D5" w:rsidP="002A30D5">
            <w:pPr>
              <w:ind w:right="-205"/>
              <w:jc w:val="center"/>
              <w:rPr>
                <w:rFonts w:cs="Arial"/>
                <w:color w:val="000000" w:themeColor="text1"/>
              </w:rPr>
            </w:pPr>
            <w:r w:rsidRPr="002A30D5">
              <w:rPr>
                <w:rFonts w:cs="Arial"/>
                <w:color w:val="000000" w:themeColor="text1"/>
              </w:rPr>
              <w:t>7</w:t>
            </w:r>
          </w:p>
        </w:tc>
        <w:tc>
          <w:tcPr>
            <w:tcW w:w="785" w:type="dxa"/>
          </w:tcPr>
          <w:p w14:paraId="4CF47430" w14:textId="6EA43E62" w:rsidR="002A30D5" w:rsidRPr="002A30D5" w:rsidRDefault="002A30D5" w:rsidP="002A30D5">
            <w:pPr>
              <w:ind w:right="-205"/>
              <w:jc w:val="center"/>
              <w:rPr>
                <w:rFonts w:cs="Arial"/>
                <w:color w:val="000000" w:themeColor="text1"/>
              </w:rPr>
            </w:pPr>
            <w:r w:rsidRPr="002A30D5">
              <w:rPr>
                <w:rFonts w:cs="Arial"/>
                <w:color w:val="000000" w:themeColor="text1"/>
              </w:rPr>
              <w:t>13</w:t>
            </w:r>
          </w:p>
        </w:tc>
        <w:tc>
          <w:tcPr>
            <w:tcW w:w="979" w:type="dxa"/>
          </w:tcPr>
          <w:p w14:paraId="591A2BAE" w14:textId="2DFA1656" w:rsidR="002A30D5" w:rsidRPr="002A30D5" w:rsidRDefault="002A30D5" w:rsidP="002A30D5">
            <w:pPr>
              <w:ind w:right="-205"/>
              <w:jc w:val="center"/>
              <w:rPr>
                <w:rFonts w:cs="Arial"/>
                <w:color w:val="000000" w:themeColor="text1"/>
              </w:rPr>
            </w:pPr>
            <w:r w:rsidRPr="002A30D5">
              <w:rPr>
                <w:rFonts w:cs="Arial"/>
                <w:color w:val="000000" w:themeColor="text1"/>
              </w:rPr>
              <w:t>30</w:t>
            </w:r>
          </w:p>
        </w:tc>
      </w:tr>
      <w:tr w:rsidR="002A30D5" w14:paraId="0D86E4DF" w14:textId="77777777" w:rsidTr="002A30D5">
        <w:tc>
          <w:tcPr>
            <w:tcW w:w="3361" w:type="dxa"/>
          </w:tcPr>
          <w:p w14:paraId="3462D754" w14:textId="5096557E" w:rsidR="002A30D5" w:rsidRPr="002A30D5" w:rsidRDefault="002A30D5" w:rsidP="002A30D5">
            <w:pPr>
              <w:ind w:right="-205"/>
              <w:rPr>
                <w:rFonts w:cs="Arial"/>
                <w:color w:val="000000" w:themeColor="text1"/>
              </w:rPr>
            </w:pPr>
            <w:r w:rsidRPr="002A30D5">
              <w:rPr>
                <w:rFonts w:cs="Arial"/>
                <w:color w:val="000000" w:themeColor="text1"/>
              </w:rPr>
              <w:t>Security Officers and Guards</w:t>
            </w:r>
          </w:p>
        </w:tc>
        <w:tc>
          <w:tcPr>
            <w:tcW w:w="810" w:type="dxa"/>
          </w:tcPr>
          <w:p w14:paraId="4EEB746D" w14:textId="325AACB9" w:rsidR="002A30D5" w:rsidRPr="002A30D5" w:rsidRDefault="002A30D5" w:rsidP="002A30D5">
            <w:pPr>
              <w:ind w:right="-205"/>
              <w:jc w:val="center"/>
              <w:rPr>
                <w:rFonts w:cs="Arial"/>
                <w:color w:val="000000" w:themeColor="text1"/>
              </w:rPr>
            </w:pPr>
            <w:r w:rsidRPr="002A30D5">
              <w:rPr>
                <w:rFonts w:cs="Arial"/>
                <w:color w:val="000000" w:themeColor="text1"/>
              </w:rPr>
              <w:t>7</w:t>
            </w:r>
          </w:p>
        </w:tc>
        <w:tc>
          <w:tcPr>
            <w:tcW w:w="785" w:type="dxa"/>
          </w:tcPr>
          <w:p w14:paraId="39DE5B4E" w14:textId="5BA108E7" w:rsidR="002A30D5" w:rsidRPr="002A30D5" w:rsidRDefault="002A30D5" w:rsidP="002A30D5">
            <w:pPr>
              <w:ind w:right="-205"/>
              <w:jc w:val="center"/>
              <w:rPr>
                <w:rFonts w:cs="Arial"/>
                <w:color w:val="000000" w:themeColor="text1"/>
              </w:rPr>
            </w:pPr>
            <w:r w:rsidRPr="002A30D5">
              <w:rPr>
                <w:rFonts w:cs="Arial"/>
                <w:color w:val="000000" w:themeColor="text1"/>
              </w:rPr>
              <w:t>1</w:t>
            </w:r>
          </w:p>
        </w:tc>
        <w:tc>
          <w:tcPr>
            <w:tcW w:w="785" w:type="dxa"/>
          </w:tcPr>
          <w:p w14:paraId="226193C8" w14:textId="4BDF5BA3" w:rsidR="002A30D5" w:rsidRPr="002A30D5" w:rsidRDefault="002A30D5" w:rsidP="002A30D5">
            <w:pPr>
              <w:ind w:right="-205"/>
              <w:jc w:val="center"/>
              <w:rPr>
                <w:rFonts w:cs="Arial"/>
                <w:color w:val="000000" w:themeColor="text1"/>
              </w:rPr>
            </w:pPr>
            <w:r w:rsidRPr="002A30D5">
              <w:rPr>
                <w:rFonts w:cs="Arial"/>
                <w:color w:val="000000" w:themeColor="text1"/>
              </w:rPr>
              <w:t>4</w:t>
            </w:r>
          </w:p>
        </w:tc>
        <w:tc>
          <w:tcPr>
            <w:tcW w:w="785" w:type="dxa"/>
          </w:tcPr>
          <w:p w14:paraId="146F2E55" w14:textId="52CB4E43" w:rsidR="002A30D5" w:rsidRPr="002A30D5" w:rsidRDefault="002A30D5" w:rsidP="002A30D5">
            <w:pPr>
              <w:ind w:right="-205"/>
              <w:jc w:val="center"/>
              <w:rPr>
                <w:rFonts w:cs="Arial"/>
                <w:color w:val="000000" w:themeColor="text1"/>
              </w:rPr>
            </w:pPr>
            <w:r w:rsidRPr="002A30D5">
              <w:rPr>
                <w:rFonts w:cs="Arial"/>
                <w:color w:val="000000" w:themeColor="text1"/>
              </w:rPr>
              <w:t>4</w:t>
            </w:r>
          </w:p>
        </w:tc>
        <w:tc>
          <w:tcPr>
            <w:tcW w:w="785" w:type="dxa"/>
          </w:tcPr>
          <w:p w14:paraId="08514215" w14:textId="5C863635" w:rsidR="002A30D5" w:rsidRPr="002A30D5" w:rsidRDefault="002A30D5" w:rsidP="002A30D5">
            <w:pPr>
              <w:ind w:right="-205"/>
              <w:jc w:val="center"/>
              <w:rPr>
                <w:rFonts w:cs="Arial"/>
                <w:color w:val="000000" w:themeColor="text1"/>
              </w:rPr>
            </w:pPr>
            <w:r w:rsidRPr="002A30D5">
              <w:rPr>
                <w:rFonts w:cs="Arial"/>
                <w:color w:val="000000" w:themeColor="text1"/>
              </w:rPr>
              <w:t>2</w:t>
            </w:r>
          </w:p>
        </w:tc>
        <w:tc>
          <w:tcPr>
            <w:tcW w:w="979" w:type="dxa"/>
          </w:tcPr>
          <w:p w14:paraId="3060D2E2" w14:textId="23DA6F3D" w:rsidR="002A30D5" w:rsidRPr="002A30D5" w:rsidRDefault="002A30D5" w:rsidP="002A30D5">
            <w:pPr>
              <w:ind w:right="-205"/>
              <w:jc w:val="center"/>
              <w:rPr>
                <w:rFonts w:cs="Arial"/>
                <w:color w:val="000000" w:themeColor="text1"/>
              </w:rPr>
            </w:pPr>
            <w:r w:rsidRPr="002A30D5">
              <w:rPr>
                <w:rFonts w:cs="Arial"/>
                <w:color w:val="000000" w:themeColor="text1"/>
              </w:rPr>
              <w:t>18</w:t>
            </w:r>
          </w:p>
        </w:tc>
      </w:tr>
      <w:tr w:rsidR="002A30D5" w14:paraId="1363754A" w14:textId="77777777" w:rsidTr="002A30D5">
        <w:tc>
          <w:tcPr>
            <w:tcW w:w="3361" w:type="dxa"/>
          </w:tcPr>
          <w:p w14:paraId="76563F8C" w14:textId="10216FDC" w:rsidR="002A30D5" w:rsidRPr="002A30D5" w:rsidRDefault="002A30D5" w:rsidP="002A30D5">
            <w:pPr>
              <w:ind w:right="-205"/>
              <w:rPr>
                <w:rFonts w:cs="Arial"/>
                <w:color w:val="000000" w:themeColor="text1"/>
              </w:rPr>
            </w:pPr>
            <w:r w:rsidRPr="002A30D5">
              <w:rPr>
                <w:rFonts w:cs="Arial"/>
                <w:color w:val="000000" w:themeColor="text1"/>
              </w:rPr>
              <w:t>Children Care Workers</w:t>
            </w:r>
          </w:p>
        </w:tc>
        <w:tc>
          <w:tcPr>
            <w:tcW w:w="810" w:type="dxa"/>
          </w:tcPr>
          <w:p w14:paraId="65D0E627" w14:textId="6DCD116D" w:rsidR="002A30D5" w:rsidRPr="002A30D5" w:rsidRDefault="002A30D5" w:rsidP="002A30D5">
            <w:pPr>
              <w:ind w:right="-205"/>
              <w:jc w:val="center"/>
              <w:rPr>
                <w:rFonts w:cs="Arial"/>
                <w:color w:val="000000" w:themeColor="text1"/>
              </w:rPr>
            </w:pPr>
            <w:r w:rsidRPr="002A30D5">
              <w:rPr>
                <w:rFonts w:cs="Arial"/>
                <w:color w:val="000000" w:themeColor="text1"/>
              </w:rPr>
              <w:t>3</w:t>
            </w:r>
          </w:p>
        </w:tc>
        <w:tc>
          <w:tcPr>
            <w:tcW w:w="785" w:type="dxa"/>
          </w:tcPr>
          <w:p w14:paraId="1A1A4F98" w14:textId="6F227FE0" w:rsidR="002A30D5" w:rsidRPr="002A30D5" w:rsidRDefault="002A30D5" w:rsidP="002A30D5">
            <w:pPr>
              <w:ind w:right="-205"/>
              <w:jc w:val="center"/>
              <w:rPr>
                <w:rFonts w:cs="Arial"/>
                <w:color w:val="000000" w:themeColor="text1"/>
              </w:rPr>
            </w:pPr>
            <w:r w:rsidRPr="002A30D5">
              <w:rPr>
                <w:rFonts w:cs="Arial"/>
                <w:color w:val="000000" w:themeColor="text1"/>
              </w:rPr>
              <w:t>1</w:t>
            </w:r>
          </w:p>
        </w:tc>
        <w:tc>
          <w:tcPr>
            <w:tcW w:w="785" w:type="dxa"/>
          </w:tcPr>
          <w:p w14:paraId="7E6C437F" w14:textId="1990A931" w:rsidR="002A30D5" w:rsidRPr="002A30D5" w:rsidRDefault="002A30D5" w:rsidP="002A30D5">
            <w:pPr>
              <w:ind w:right="-205"/>
              <w:jc w:val="center"/>
              <w:rPr>
                <w:rFonts w:cs="Arial"/>
                <w:color w:val="000000" w:themeColor="text1"/>
              </w:rPr>
            </w:pPr>
            <w:r w:rsidRPr="002A30D5">
              <w:rPr>
                <w:rFonts w:cs="Arial"/>
                <w:color w:val="000000" w:themeColor="text1"/>
              </w:rPr>
              <w:t>7</w:t>
            </w:r>
          </w:p>
        </w:tc>
        <w:tc>
          <w:tcPr>
            <w:tcW w:w="785" w:type="dxa"/>
          </w:tcPr>
          <w:p w14:paraId="1A6651B4" w14:textId="5DB7772B" w:rsidR="002A30D5" w:rsidRPr="002A30D5" w:rsidRDefault="002A30D5" w:rsidP="002A30D5">
            <w:pPr>
              <w:ind w:right="-205"/>
              <w:jc w:val="center"/>
              <w:rPr>
                <w:rFonts w:cs="Arial"/>
                <w:color w:val="000000" w:themeColor="text1"/>
              </w:rPr>
            </w:pPr>
            <w:r w:rsidRPr="002A30D5">
              <w:rPr>
                <w:rFonts w:cs="Arial"/>
                <w:color w:val="000000" w:themeColor="text1"/>
              </w:rPr>
              <w:t>3</w:t>
            </w:r>
          </w:p>
        </w:tc>
        <w:tc>
          <w:tcPr>
            <w:tcW w:w="785" w:type="dxa"/>
          </w:tcPr>
          <w:p w14:paraId="625935E3" w14:textId="62639991" w:rsidR="002A30D5" w:rsidRPr="002A30D5" w:rsidRDefault="002A30D5" w:rsidP="002A30D5">
            <w:pPr>
              <w:ind w:right="-205"/>
              <w:jc w:val="center"/>
              <w:rPr>
                <w:rFonts w:cs="Arial"/>
                <w:color w:val="000000" w:themeColor="text1"/>
              </w:rPr>
            </w:pPr>
            <w:r w:rsidRPr="002A30D5">
              <w:rPr>
                <w:rFonts w:cs="Arial"/>
                <w:color w:val="000000" w:themeColor="text1"/>
              </w:rPr>
              <w:t>3</w:t>
            </w:r>
          </w:p>
        </w:tc>
        <w:tc>
          <w:tcPr>
            <w:tcW w:w="979" w:type="dxa"/>
          </w:tcPr>
          <w:p w14:paraId="13753AF5" w14:textId="22072D90" w:rsidR="002A30D5" w:rsidRPr="002A30D5" w:rsidRDefault="002A30D5" w:rsidP="002A30D5">
            <w:pPr>
              <w:ind w:right="-205"/>
              <w:jc w:val="center"/>
              <w:rPr>
                <w:rFonts w:cs="Arial"/>
                <w:color w:val="000000" w:themeColor="text1"/>
              </w:rPr>
            </w:pPr>
            <w:r w:rsidRPr="002A30D5">
              <w:rPr>
                <w:rFonts w:cs="Arial"/>
                <w:color w:val="000000" w:themeColor="text1"/>
              </w:rPr>
              <w:t>17</w:t>
            </w:r>
          </w:p>
        </w:tc>
      </w:tr>
      <w:tr w:rsidR="002A30D5" w14:paraId="53E3AEB2" w14:textId="77777777" w:rsidTr="002A30D5">
        <w:tc>
          <w:tcPr>
            <w:tcW w:w="3361" w:type="dxa"/>
          </w:tcPr>
          <w:p w14:paraId="08343F35" w14:textId="5BC2E63E" w:rsidR="002A30D5" w:rsidRPr="002A30D5" w:rsidRDefault="002A30D5" w:rsidP="002A30D5">
            <w:pPr>
              <w:ind w:right="-205"/>
              <w:rPr>
                <w:rFonts w:cs="Arial"/>
                <w:color w:val="000000" w:themeColor="text1"/>
              </w:rPr>
            </w:pPr>
            <w:r w:rsidRPr="002A30D5">
              <w:rPr>
                <w:rFonts w:cs="Arial"/>
                <w:color w:val="000000" w:themeColor="text1"/>
              </w:rPr>
              <w:t>Cleaners</w:t>
            </w:r>
          </w:p>
        </w:tc>
        <w:tc>
          <w:tcPr>
            <w:tcW w:w="810" w:type="dxa"/>
          </w:tcPr>
          <w:p w14:paraId="5769827C" w14:textId="5F07C5D8" w:rsidR="002A30D5" w:rsidRPr="002A30D5" w:rsidRDefault="002A30D5" w:rsidP="002A30D5">
            <w:pPr>
              <w:ind w:right="-205"/>
              <w:jc w:val="center"/>
              <w:rPr>
                <w:rFonts w:cs="Arial"/>
                <w:color w:val="000000" w:themeColor="text1"/>
              </w:rPr>
            </w:pPr>
            <w:r w:rsidRPr="002A30D5">
              <w:rPr>
                <w:rFonts w:cs="Arial"/>
                <w:color w:val="000000" w:themeColor="text1"/>
              </w:rPr>
              <w:t>6</w:t>
            </w:r>
          </w:p>
        </w:tc>
        <w:tc>
          <w:tcPr>
            <w:tcW w:w="785" w:type="dxa"/>
          </w:tcPr>
          <w:p w14:paraId="05BFABAA" w14:textId="483DC9D5" w:rsidR="002A30D5" w:rsidRPr="002A30D5" w:rsidRDefault="002A30D5" w:rsidP="002A30D5">
            <w:pPr>
              <w:ind w:right="-205"/>
              <w:jc w:val="center"/>
              <w:rPr>
                <w:rFonts w:cs="Arial"/>
                <w:color w:val="000000" w:themeColor="text1"/>
              </w:rPr>
            </w:pPr>
            <w:r w:rsidRPr="002A30D5">
              <w:rPr>
                <w:rFonts w:cs="Arial"/>
                <w:color w:val="000000" w:themeColor="text1"/>
              </w:rPr>
              <w:t>1</w:t>
            </w:r>
          </w:p>
        </w:tc>
        <w:tc>
          <w:tcPr>
            <w:tcW w:w="785" w:type="dxa"/>
          </w:tcPr>
          <w:p w14:paraId="2529395B" w14:textId="0574CC78" w:rsidR="002A30D5" w:rsidRPr="002A30D5" w:rsidRDefault="002A30D5" w:rsidP="002A30D5">
            <w:pPr>
              <w:ind w:right="-205"/>
              <w:jc w:val="center"/>
              <w:rPr>
                <w:rFonts w:cs="Arial"/>
                <w:color w:val="000000" w:themeColor="text1"/>
              </w:rPr>
            </w:pPr>
            <w:r w:rsidRPr="002A30D5">
              <w:rPr>
                <w:rFonts w:cs="Arial"/>
                <w:color w:val="000000" w:themeColor="text1"/>
              </w:rPr>
              <w:t>2</w:t>
            </w:r>
          </w:p>
        </w:tc>
        <w:tc>
          <w:tcPr>
            <w:tcW w:w="785" w:type="dxa"/>
          </w:tcPr>
          <w:p w14:paraId="398A0C0F" w14:textId="6CD4D422" w:rsidR="002A30D5" w:rsidRPr="002A30D5" w:rsidRDefault="002A30D5" w:rsidP="002A30D5">
            <w:pPr>
              <w:ind w:right="-205"/>
              <w:jc w:val="center"/>
              <w:rPr>
                <w:rFonts w:cs="Arial"/>
                <w:color w:val="000000" w:themeColor="text1"/>
              </w:rPr>
            </w:pPr>
            <w:r w:rsidRPr="002A30D5">
              <w:rPr>
                <w:rFonts w:cs="Arial"/>
                <w:color w:val="000000" w:themeColor="text1"/>
              </w:rPr>
              <w:t>2</w:t>
            </w:r>
          </w:p>
        </w:tc>
        <w:tc>
          <w:tcPr>
            <w:tcW w:w="785" w:type="dxa"/>
          </w:tcPr>
          <w:p w14:paraId="7FFD7788" w14:textId="3BDB1390" w:rsidR="002A30D5" w:rsidRPr="002A30D5" w:rsidRDefault="002A30D5" w:rsidP="002A30D5">
            <w:pPr>
              <w:ind w:right="-205"/>
              <w:jc w:val="center"/>
              <w:rPr>
                <w:rFonts w:cs="Arial"/>
                <w:color w:val="000000" w:themeColor="text1"/>
              </w:rPr>
            </w:pPr>
            <w:r w:rsidRPr="002A30D5">
              <w:rPr>
                <w:rFonts w:cs="Arial"/>
                <w:color w:val="000000" w:themeColor="text1"/>
              </w:rPr>
              <w:t>4</w:t>
            </w:r>
          </w:p>
        </w:tc>
        <w:tc>
          <w:tcPr>
            <w:tcW w:w="979" w:type="dxa"/>
          </w:tcPr>
          <w:p w14:paraId="39DFA5AD" w14:textId="5E8A54DA" w:rsidR="002A30D5" w:rsidRPr="002A30D5" w:rsidRDefault="002A30D5" w:rsidP="002A30D5">
            <w:pPr>
              <w:ind w:right="-205"/>
              <w:jc w:val="center"/>
              <w:rPr>
                <w:rFonts w:cs="Arial"/>
                <w:color w:val="000000" w:themeColor="text1"/>
              </w:rPr>
            </w:pPr>
            <w:r w:rsidRPr="002A30D5">
              <w:rPr>
                <w:rFonts w:cs="Arial"/>
                <w:color w:val="000000" w:themeColor="text1"/>
              </w:rPr>
              <w:t>15</w:t>
            </w:r>
          </w:p>
        </w:tc>
      </w:tr>
      <w:tr w:rsidR="002A30D5" w14:paraId="6A9F11F6" w14:textId="77777777" w:rsidTr="002A30D5">
        <w:tc>
          <w:tcPr>
            <w:tcW w:w="3361" w:type="dxa"/>
          </w:tcPr>
          <w:p w14:paraId="32567CC5" w14:textId="187BB18C" w:rsidR="002A30D5" w:rsidRPr="002A30D5" w:rsidRDefault="002A30D5" w:rsidP="002A30D5">
            <w:pPr>
              <w:ind w:right="-205"/>
              <w:rPr>
                <w:rFonts w:cs="Arial"/>
                <w:color w:val="000000" w:themeColor="text1"/>
              </w:rPr>
            </w:pPr>
            <w:r w:rsidRPr="002A30D5">
              <w:rPr>
                <w:rFonts w:cs="Arial"/>
                <w:color w:val="000000" w:themeColor="text1"/>
              </w:rPr>
              <w:t>Sales Assistants</w:t>
            </w:r>
          </w:p>
        </w:tc>
        <w:tc>
          <w:tcPr>
            <w:tcW w:w="810" w:type="dxa"/>
          </w:tcPr>
          <w:p w14:paraId="3AFD71A0" w14:textId="5C56FFE8" w:rsidR="002A30D5" w:rsidRPr="002A30D5" w:rsidRDefault="002A30D5" w:rsidP="002A30D5">
            <w:pPr>
              <w:ind w:right="-205"/>
              <w:jc w:val="center"/>
              <w:rPr>
                <w:rFonts w:cs="Arial"/>
                <w:color w:val="000000" w:themeColor="text1"/>
              </w:rPr>
            </w:pPr>
            <w:r w:rsidRPr="002A30D5">
              <w:rPr>
                <w:rFonts w:cs="Arial"/>
                <w:color w:val="000000" w:themeColor="text1"/>
              </w:rPr>
              <w:t>4</w:t>
            </w:r>
          </w:p>
        </w:tc>
        <w:tc>
          <w:tcPr>
            <w:tcW w:w="785" w:type="dxa"/>
          </w:tcPr>
          <w:p w14:paraId="27FCDBB9" w14:textId="10A43C07" w:rsidR="002A30D5" w:rsidRPr="002A30D5" w:rsidRDefault="002A30D5" w:rsidP="002A30D5">
            <w:pPr>
              <w:ind w:right="-205"/>
              <w:jc w:val="center"/>
              <w:rPr>
                <w:rFonts w:cs="Arial"/>
                <w:color w:val="000000" w:themeColor="text1"/>
              </w:rPr>
            </w:pPr>
            <w:r w:rsidRPr="002A30D5">
              <w:rPr>
                <w:rFonts w:cs="Arial"/>
                <w:color w:val="000000" w:themeColor="text1"/>
              </w:rPr>
              <w:t>4</w:t>
            </w:r>
          </w:p>
        </w:tc>
        <w:tc>
          <w:tcPr>
            <w:tcW w:w="785" w:type="dxa"/>
          </w:tcPr>
          <w:p w14:paraId="2A85FE75" w14:textId="079F9CBB" w:rsidR="002A30D5" w:rsidRPr="002A30D5" w:rsidRDefault="002A30D5" w:rsidP="002A30D5">
            <w:pPr>
              <w:ind w:right="-205"/>
              <w:jc w:val="center"/>
              <w:rPr>
                <w:rFonts w:cs="Arial"/>
                <w:color w:val="000000" w:themeColor="text1"/>
              </w:rPr>
            </w:pPr>
            <w:r w:rsidRPr="002A30D5">
              <w:rPr>
                <w:rFonts w:cs="Arial"/>
                <w:color w:val="000000" w:themeColor="text1"/>
              </w:rPr>
              <w:t>1</w:t>
            </w:r>
          </w:p>
        </w:tc>
        <w:tc>
          <w:tcPr>
            <w:tcW w:w="785" w:type="dxa"/>
          </w:tcPr>
          <w:p w14:paraId="717F9575" w14:textId="77777777" w:rsidR="002A30D5" w:rsidRPr="002A30D5" w:rsidRDefault="002A30D5" w:rsidP="002A30D5">
            <w:pPr>
              <w:ind w:right="-205"/>
              <w:jc w:val="center"/>
              <w:rPr>
                <w:rFonts w:cs="Arial"/>
                <w:color w:val="000000" w:themeColor="text1"/>
              </w:rPr>
            </w:pPr>
          </w:p>
        </w:tc>
        <w:tc>
          <w:tcPr>
            <w:tcW w:w="785" w:type="dxa"/>
          </w:tcPr>
          <w:p w14:paraId="4695AA3B" w14:textId="114C70A7" w:rsidR="002A30D5" w:rsidRPr="002A30D5" w:rsidRDefault="002A30D5" w:rsidP="002A30D5">
            <w:pPr>
              <w:ind w:right="-205"/>
              <w:jc w:val="center"/>
              <w:rPr>
                <w:rFonts w:cs="Arial"/>
                <w:color w:val="000000" w:themeColor="text1"/>
              </w:rPr>
            </w:pPr>
            <w:r w:rsidRPr="002A30D5">
              <w:rPr>
                <w:rFonts w:cs="Arial"/>
                <w:color w:val="000000" w:themeColor="text1"/>
              </w:rPr>
              <w:t>5</w:t>
            </w:r>
          </w:p>
        </w:tc>
        <w:tc>
          <w:tcPr>
            <w:tcW w:w="979" w:type="dxa"/>
          </w:tcPr>
          <w:p w14:paraId="76B075AB" w14:textId="3C8A6B6B" w:rsidR="002A30D5" w:rsidRPr="002A30D5" w:rsidRDefault="002A30D5" w:rsidP="002A30D5">
            <w:pPr>
              <w:ind w:right="-205"/>
              <w:jc w:val="center"/>
              <w:rPr>
                <w:rFonts w:cs="Arial"/>
                <w:color w:val="000000" w:themeColor="text1"/>
              </w:rPr>
            </w:pPr>
            <w:r w:rsidRPr="002A30D5">
              <w:rPr>
                <w:rFonts w:cs="Arial"/>
                <w:color w:val="000000" w:themeColor="text1"/>
              </w:rPr>
              <w:t>14</w:t>
            </w:r>
          </w:p>
        </w:tc>
      </w:tr>
      <w:tr w:rsidR="002A30D5" w14:paraId="42833F7A" w14:textId="77777777" w:rsidTr="002A30D5">
        <w:tc>
          <w:tcPr>
            <w:tcW w:w="3361" w:type="dxa"/>
          </w:tcPr>
          <w:p w14:paraId="0B85C0B3" w14:textId="591260A9" w:rsidR="002A30D5" w:rsidRPr="002A30D5" w:rsidRDefault="002A30D5" w:rsidP="002A30D5">
            <w:pPr>
              <w:ind w:right="-205"/>
              <w:rPr>
                <w:rFonts w:cs="Arial"/>
                <w:color w:val="000000" w:themeColor="text1"/>
              </w:rPr>
            </w:pPr>
            <w:r w:rsidRPr="002A30D5">
              <w:rPr>
                <w:rFonts w:cs="Arial"/>
                <w:color w:val="000000" w:themeColor="text1"/>
              </w:rPr>
              <w:t>Bar Attendants and Baristas</w:t>
            </w:r>
          </w:p>
        </w:tc>
        <w:tc>
          <w:tcPr>
            <w:tcW w:w="810" w:type="dxa"/>
          </w:tcPr>
          <w:p w14:paraId="253E5857" w14:textId="77777777" w:rsidR="002A30D5" w:rsidRPr="002A30D5" w:rsidRDefault="002A30D5" w:rsidP="002A30D5">
            <w:pPr>
              <w:ind w:right="-205"/>
              <w:jc w:val="center"/>
              <w:rPr>
                <w:rFonts w:cs="Arial"/>
                <w:color w:val="000000" w:themeColor="text1"/>
              </w:rPr>
            </w:pPr>
          </w:p>
        </w:tc>
        <w:tc>
          <w:tcPr>
            <w:tcW w:w="785" w:type="dxa"/>
          </w:tcPr>
          <w:p w14:paraId="63CFB5C1" w14:textId="3113072A" w:rsidR="002A30D5" w:rsidRPr="002A30D5" w:rsidRDefault="002A30D5" w:rsidP="002A30D5">
            <w:pPr>
              <w:ind w:right="-205"/>
              <w:jc w:val="center"/>
              <w:rPr>
                <w:rFonts w:cs="Arial"/>
                <w:color w:val="000000" w:themeColor="text1"/>
              </w:rPr>
            </w:pPr>
            <w:r w:rsidRPr="002A30D5">
              <w:rPr>
                <w:rFonts w:cs="Arial"/>
                <w:color w:val="000000" w:themeColor="text1"/>
              </w:rPr>
              <w:t>2</w:t>
            </w:r>
          </w:p>
        </w:tc>
        <w:tc>
          <w:tcPr>
            <w:tcW w:w="785" w:type="dxa"/>
          </w:tcPr>
          <w:p w14:paraId="327C9723" w14:textId="77777777" w:rsidR="002A30D5" w:rsidRPr="002A30D5" w:rsidRDefault="002A30D5" w:rsidP="002A30D5">
            <w:pPr>
              <w:ind w:right="-205"/>
              <w:jc w:val="center"/>
              <w:rPr>
                <w:rFonts w:cs="Arial"/>
                <w:color w:val="000000" w:themeColor="text1"/>
              </w:rPr>
            </w:pPr>
          </w:p>
        </w:tc>
        <w:tc>
          <w:tcPr>
            <w:tcW w:w="785" w:type="dxa"/>
          </w:tcPr>
          <w:p w14:paraId="70BEF460" w14:textId="4206B2F2" w:rsidR="002A30D5" w:rsidRPr="002A30D5" w:rsidRDefault="002A30D5" w:rsidP="002A30D5">
            <w:pPr>
              <w:ind w:right="-205"/>
              <w:jc w:val="center"/>
              <w:rPr>
                <w:rFonts w:cs="Arial"/>
                <w:color w:val="000000" w:themeColor="text1"/>
              </w:rPr>
            </w:pPr>
            <w:r w:rsidRPr="002A30D5">
              <w:rPr>
                <w:rFonts w:cs="Arial"/>
                <w:color w:val="000000" w:themeColor="text1"/>
              </w:rPr>
              <w:t>2</w:t>
            </w:r>
          </w:p>
        </w:tc>
        <w:tc>
          <w:tcPr>
            <w:tcW w:w="785" w:type="dxa"/>
          </w:tcPr>
          <w:p w14:paraId="68B1FED5" w14:textId="160BBBD8" w:rsidR="002A30D5" w:rsidRPr="002A30D5" w:rsidRDefault="002A30D5" w:rsidP="002A30D5">
            <w:pPr>
              <w:ind w:right="-205"/>
              <w:jc w:val="center"/>
              <w:rPr>
                <w:rFonts w:cs="Arial"/>
                <w:color w:val="000000" w:themeColor="text1"/>
              </w:rPr>
            </w:pPr>
            <w:r w:rsidRPr="002A30D5">
              <w:rPr>
                <w:rFonts w:cs="Arial"/>
                <w:color w:val="000000" w:themeColor="text1"/>
              </w:rPr>
              <w:t>3</w:t>
            </w:r>
          </w:p>
        </w:tc>
        <w:tc>
          <w:tcPr>
            <w:tcW w:w="979" w:type="dxa"/>
          </w:tcPr>
          <w:p w14:paraId="0F8A2A3E" w14:textId="5B31FD59" w:rsidR="002A30D5" w:rsidRPr="002A30D5" w:rsidRDefault="002A30D5" w:rsidP="002A30D5">
            <w:pPr>
              <w:ind w:right="-205"/>
              <w:jc w:val="center"/>
              <w:rPr>
                <w:rFonts w:cs="Arial"/>
                <w:color w:val="000000" w:themeColor="text1"/>
              </w:rPr>
            </w:pPr>
            <w:r w:rsidRPr="002A30D5">
              <w:rPr>
                <w:rFonts w:cs="Arial"/>
                <w:color w:val="000000" w:themeColor="text1"/>
              </w:rPr>
              <w:t>7</w:t>
            </w:r>
          </w:p>
        </w:tc>
      </w:tr>
      <w:tr w:rsidR="002A30D5" w14:paraId="6FEE0282" w14:textId="77777777" w:rsidTr="002A30D5">
        <w:tc>
          <w:tcPr>
            <w:tcW w:w="3361" w:type="dxa"/>
          </w:tcPr>
          <w:p w14:paraId="3A8905AD" w14:textId="76E5FD45" w:rsidR="002A30D5" w:rsidRPr="002A30D5" w:rsidRDefault="002A30D5" w:rsidP="002A30D5">
            <w:pPr>
              <w:ind w:right="-205"/>
              <w:rPr>
                <w:rFonts w:cs="Arial"/>
                <w:color w:val="000000" w:themeColor="text1"/>
              </w:rPr>
            </w:pPr>
            <w:r w:rsidRPr="002A30D5">
              <w:rPr>
                <w:rFonts w:cs="Arial"/>
                <w:color w:val="000000" w:themeColor="text1"/>
              </w:rPr>
              <w:t>Ambulance Officers and Paramedics</w:t>
            </w:r>
          </w:p>
        </w:tc>
        <w:tc>
          <w:tcPr>
            <w:tcW w:w="810" w:type="dxa"/>
          </w:tcPr>
          <w:p w14:paraId="35AB8375" w14:textId="0D3DEDBB" w:rsidR="002A30D5" w:rsidRPr="002A30D5" w:rsidRDefault="002A30D5" w:rsidP="002A30D5">
            <w:pPr>
              <w:ind w:right="-205"/>
              <w:jc w:val="center"/>
              <w:rPr>
                <w:rFonts w:cs="Arial"/>
                <w:color w:val="000000" w:themeColor="text1"/>
              </w:rPr>
            </w:pPr>
            <w:r w:rsidRPr="002A30D5">
              <w:rPr>
                <w:rFonts w:cs="Arial"/>
                <w:color w:val="000000" w:themeColor="text1"/>
              </w:rPr>
              <w:t>1</w:t>
            </w:r>
          </w:p>
        </w:tc>
        <w:tc>
          <w:tcPr>
            <w:tcW w:w="785" w:type="dxa"/>
          </w:tcPr>
          <w:p w14:paraId="0FDEEF88" w14:textId="77777777" w:rsidR="002A30D5" w:rsidRPr="002A30D5" w:rsidRDefault="002A30D5" w:rsidP="002A30D5">
            <w:pPr>
              <w:ind w:right="-205"/>
              <w:jc w:val="center"/>
              <w:rPr>
                <w:rFonts w:cs="Arial"/>
                <w:color w:val="000000" w:themeColor="text1"/>
              </w:rPr>
            </w:pPr>
          </w:p>
        </w:tc>
        <w:tc>
          <w:tcPr>
            <w:tcW w:w="785" w:type="dxa"/>
          </w:tcPr>
          <w:p w14:paraId="7697E794" w14:textId="77777777" w:rsidR="002A30D5" w:rsidRPr="002A30D5" w:rsidRDefault="002A30D5" w:rsidP="002A30D5">
            <w:pPr>
              <w:ind w:right="-205"/>
              <w:jc w:val="center"/>
              <w:rPr>
                <w:rFonts w:cs="Arial"/>
                <w:color w:val="000000" w:themeColor="text1"/>
              </w:rPr>
            </w:pPr>
          </w:p>
        </w:tc>
        <w:tc>
          <w:tcPr>
            <w:tcW w:w="785" w:type="dxa"/>
          </w:tcPr>
          <w:p w14:paraId="3C9C1B4B" w14:textId="71F65532" w:rsidR="002A30D5" w:rsidRPr="002A30D5" w:rsidRDefault="002A30D5" w:rsidP="002A30D5">
            <w:pPr>
              <w:ind w:right="-205"/>
              <w:jc w:val="center"/>
              <w:rPr>
                <w:rFonts w:cs="Arial"/>
                <w:color w:val="000000" w:themeColor="text1"/>
              </w:rPr>
            </w:pPr>
            <w:r w:rsidRPr="002A30D5">
              <w:rPr>
                <w:rFonts w:cs="Arial"/>
                <w:color w:val="000000" w:themeColor="text1"/>
              </w:rPr>
              <w:t>4</w:t>
            </w:r>
          </w:p>
        </w:tc>
        <w:tc>
          <w:tcPr>
            <w:tcW w:w="785" w:type="dxa"/>
          </w:tcPr>
          <w:p w14:paraId="4BCFCFE8" w14:textId="122F44C5" w:rsidR="002A30D5" w:rsidRPr="002A30D5" w:rsidRDefault="002A30D5" w:rsidP="002A30D5">
            <w:pPr>
              <w:ind w:right="-205"/>
              <w:jc w:val="center"/>
              <w:rPr>
                <w:rFonts w:cs="Arial"/>
                <w:color w:val="000000" w:themeColor="text1"/>
              </w:rPr>
            </w:pPr>
            <w:r w:rsidRPr="002A30D5">
              <w:rPr>
                <w:rFonts w:cs="Arial"/>
                <w:color w:val="000000" w:themeColor="text1"/>
              </w:rPr>
              <w:t>2</w:t>
            </w:r>
          </w:p>
        </w:tc>
        <w:tc>
          <w:tcPr>
            <w:tcW w:w="979" w:type="dxa"/>
          </w:tcPr>
          <w:p w14:paraId="7E67D1F1" w14:textId="218359D1" w:rsidR="002A30D5" w:rsidRPr="002A30D5" w:rsidRDefault="002A30D5" w:rsidP="002A30D5">
            <w:pPr>
              <w:ind w:right="-205"/>
              <w:jc w:val="center"/>
              <w:rPr>
                <w:rFonts w:cs="Arial"/>
                <w:color w:val="000000" w:themeColor="text1"/>
              </w:rPr>
            </w:pPr>
            <w:r w:rsidRPr="002A30D5">
              <w:rPr>
                <w:rFonts w:cs="Arial"/>
                <w:color w:val="000000" w:themeColor="text1"/>
              </w:rPr>
              <w:t>7</w:t>
            </w:r>
          </w:p>
        </w:tc>
      </w:tr>
      <w:tr w:rsidR="002A30D5" w14:paraId="19715F53" w14:textId="77777777" w:rsidTr="002A30D5">
        <w:tc>
          <w:tcPr>
            <w:tcW w:w="3361" w:type="dxa"/>
          </w:tcPr>
          <w:p w14:paraId="18E32E17" w14:textId="5FE298D0" w:rsidR="002A30D5" w:rsidRPr="002A30D5" w:rsidRDefault="002A30D5" w:rsidP="002A30D5">
            <w:pPr>
              <w:ind w:right="-205"/>
              <w:rPr>
                <w:rFonts w:cs="Arial"/>
                <w:color w:val="000000" w:themeColor="text1"/>
              </w:rPr>
            </w:pPr>
            <w:r w:rsidRPr="002A30D5">
              <w:rPr>
                <w:rFonts w:cs="Arial"/>
                <w:color w:val="000000" w:themeColor="text1"/>
              </w:rPr>
              <w:t>Fire and Emergency Workers</w:t>
            </w:r>
          </w:p>
        </w:tc>
        <w:tc>
          <w:tcPr>
            <w:tcW w:w="810" w:type="dxa"/>
          </w:tcPr>
          <w:p w14:paraId="5E6BDB61" w14:textId="77777777" w:rsidR="002A30D5" w:rsidRPr="002A30D5" w:rsidRDefault="002A30D5" w:rsidP="002A30D5">
            <w:pPr>
              <w:ind w:right="-205"/>
              <w:jc w:val="center"/>
              <w:rPr>
                <w:rFonts w:cs="Arial"/>
                <w:color w:val="000000" w:themeColor="text1"/>
              </w:rPr>
            </w:pPr>
          </w:p>
        </w:tc>
        <w:tc>
          <w:tcPr>
            <w:tcW w:w="785" w:type="dxa"/>
          </w:tcPr>
          <w:p w14:paraId="6ACC0CD3" w14:textId="77777777" w:rsidR="002A30D5" w:rsidRPr="002A30D5" w:rsidRDefault="002A30D5" w:rsidP="002A30D5">
            <w:pPr>
              <w:ind w:right="-205"/>
              <w:jc w:val="center"/>
              <w:rPr>
                <w:rFonts w:cs="Arial"/>
                <w:color w:val="000000" w:themeColor="text1"/>
              </w:rPr>
            </w:pPr>
          </w:p>
        </w:tc>
        <w:tc>
          <w:tcPr>
            <w:tcW w:w="785" w:type="dxa"/>
          </w:tcPr>
          <w:p w14:paraId="3114ECC5" w14:textId="77777777" w:rsidR="002A30D5" w:rsidRPr="002A30D5" w:rsidRDefault="002A30D5" w:rsidP="002A30D5">
            <w:pPr>
              <w:ind w:right="-205"/>
              <w:jc w:val="center"/>
              <w:rPr>
                <w:rFonts w:cs="Arial"/>
                <w:color w:val="000000" w:themeColor="text1"/>
              </w:rPr>
            </w:pPr>
          </w:p>
        </w:tc>
        <w:tc>
          <w:tcPr>
            <w:tcW w:w="785" w:type="dxa"/>
          </w:tcPr>
          <w:p w14:paraId="0ACC0D9F" w14:textId="77777777" w:rsidR="002A30D5" w:rsidRPr="002A30D5" w:rsidRDefault="002A30D5" w:rsidP="002A30D5">
            <w:pPr>
              <w:ind w:right="-205"/>
              <w:jc w:val="center"/>
              <w:rPr>
                <w:rFonts w:cs="Arial"/>
                <w:color w:val="000000" w:themeColor="text1"/>
              </w:rPr>
            </w:pPr>
          </w:p>
        </w:tc>
        <w:tc>
          <w:tcPr>
            <w:tcW w:w="785" w:type="dxa"/>
          </w:tcPr>
          <w:p w14:paraId="51334E40" w14:textId="3A6DF8BB" w:rsidR="002A30D5" w:rsidRPr="002A30D5" w:rsidRDefault="002A30D5" w:rsidP="002A30D5">
            <w:pPr>
              <w:ind w:right="-205"/>
              <w:jc w:val="center"/>
              <w:rPr>
                <w:rFonts w:cs="Arial"/>
                <w:color w:val="000000" w:themeColor="text1"/>
              </w:rPr>
            </w:pPr>
            <w:r w:rsidRPr="002A30D5">
              <w:rPr>
                <w:rFonts w:cs="Arial"/>
                <w:color w:val="000000" w:themeColor="text1"/>
              </w:rPr>
              <w:t>1</w:t>
            </w:r>
          </w:p>
        </w:tc>
        <w:tc>
          <w:tcPr>
            <w:tcW w:w="979" w:type="dxa"/>
          </w:tcPr>
          <w:p w14:paraId="384DBDA6" w14:textId="47195AA0" w:rsidR="002A30D5" w:rsidRPr="002A30D5" w:rsidRDefault="002A30D5" w:rsidP="002A30D5">
            <w:pPr>
              <w:ind w:right="-205"/>
              <w:jc w:val="center"/>
              <w:rPr>
                <w:rFonts w:cs="Arial"/>
                <w:color w:val="000000" w:themeColor="text1"/>
              </w:rPr>
            </w:pPr>
            <w:r w:rsidRPr="002A30D5">
              <w:rPr>
                <w:rFonts w:cs="Arial"/>
                <w:color w:val="000000" w:themeColor="text1"/>
              </w:rPr>
              <w:t>1</w:t>
            </w:r>
          </w:p>
        </w:tc>
      </w:tr>
      <w:tr w:rsidR="002A30D5" w14:paraId="4F485441" w14:textId="77777777" w:rsidTr="002A30D5">
        <w:tc>
          <w:tcPr>
            <w:tcW w:w="3361" w:type="dxa"/>
          </w:tcPr>
          <w:p w14:paraId="69A11315" w14:textId="4E9588DF" w:rsidR="002A30D5" w:rsidRPr="00D83F16" w:rsidRDefault="002A30D5" w:rsidP="002A30D5">
            <w:pPr>
              <w:ind w:right="-205"/>
              <w:rPr>
                <w:rFonts w:cs="Arial"/>
                <w:color w:val="000000" w:themeColor="text1"/>
              </w:rPr>
            </w:pPr>
            <w:r w:rsidRPr="00D83F16">
              <w:rPr>
                <w:rFonts w:cs="Arial"/>
                <w:color w:val="000000" w:themeColor="text1"/>
              </w:rPr>
              <w:t>TOTAL</w:t>
            </w:r>
          </w:p>
        </w:tc>
        <w:tc>
          <w:tcPr>
            <w:tcW w:w="810" w:type="dxa"/>
          </w:tcPr>
          <w:p w14:paraId="63660A6F" w14:textId="426F2496" w:rsidR="002A30D5" w:rsidRDefault="002A30D5" w:rsidP="002A30D5">
            <w:pPr>
              <w:ind w:right="-205"/>
              <w:jc w:val="center"/>
              <w:rPr>
                <w:rFonts w:cs="Arial"/>
                <w:color w:val="000000" w:themeColor="text1"/>
              </w:rPr>
            </w:pPr>
            <w:r>
              <w:rPr>
                <w:rFonts w:cs="Arial"/>
                <w:color w:val="000000" w:themeColor="text1"/>
              </w:rPr>
              <w:t>176</w:t>
            </w:r>
          </w:p>
        </w:tc>
        <w:tc>
          <w:tcPr>
            <w:tcW w:w="785" w:type="dxa"/>
          </w:tcPr>
          <w:p w14:paraId="5CAB1D30" w14:textId="1108C44C" w:rsidR="002A30D5" w:rsidRDefault="002A30D5" w:rsidP="002A30D5">
            <w:pPr>
              <w:ind w:right="-205"/>
              <w:jc w:val="center"/>
              <w:rPr>
                <w:rFonts w:cs="Arial"/>
                <w:color w:val="000000" w:themeColor="text1"/>
              </w:rPr>
            </w:pPr>
            <w:r>
              <w:rPr>
                <w:rFonts w:cs="Arial"/>
                <w:color w:val="000000" w:themeColor="text1"/>
              </w:rPr>
              <w:t>151</w:t>
            </w:r>
          </w:p>
        </w:tc>
        <w:tc>
          <w:tcPr>
            <w:tcW w:w="785" w:type="dxa"/>
          </w:tcPr>
          <w:p w14:paraId="2B8BA49D" w14:textId="6BF8EC89" w:rsidR="002A30D5" w:rsidRDefault="002A30D5" w:rsidP="002A30D5">
            <w:pPr>
              <w:ind w:right="-205"/>
              <w:jc w:val="center"/>
              <w:rPr>
                <w:rFonts w:cs="Arial"/>
                <w:color w:val="000000" w:themeColor="text1"/>
              </w:rPr>
            </w:pPr>
            <w:r>
              <w:rPr>
                <w:rFonts w:cs="Arial"/>
                <w:color w:val="000000" w:themeColor="text1"/>
              </w:rPr>
              <w:t>189</w:t>
            </w:r>
          </w:p>
        </w:tc>
        <w:tc>
          <w:tcPr>
            <w:tcW w:w="785" w:type="dxa"/>
          </w:tcPr>
          <w:p w14:paraId="2736DD46" w14:textId="434D6625" w:rsidR="002A30D5" w:rsidRDefault="002A30D5" w:rsidP="002A30D5">
            <w:pPr>
              <w:ind w:right="-205"/>
              <w:jc w:val="center"/>
              <w:rPr>
                <w:rFonts w:cs="Arial"/>
                <w:color w:val="000000" w:themeColor="text1"/>
              </w:rPr>
            </w:pPr>
            <w:r>
              <w:rPr>
                <w:rFonts w:cs="Arial"/>
                <w:color w:val="000000" w:themeColor="text1"/>
              </w:rPr>
              <w:t>201</w:t>
            </w:r>
          </w:p>
        </w:tc>
        <w:tc>
          <w:tcPr>
            <w:tcW w:w="785" w:type="dxa"/>
          </w:tcPr>
          <w:p w14:paraId="7ED38FC8" w14:textId="015A90E7" w:rsidR="002A30D5" w:rsidRDefault="002A30D5" w:rsidP="002A30D5">
            <w:pPr>
              <w:ind w:right="-205"/>
              <w:jc w:val="center"/>
              <w:rPr>
                <w:rFonts w:cs="Arial"/>
                <w:color w:val="000000" w:themeColor="text1"/>
              </w:rPr>
            </w:pPr>
            <w:r>
              <w:rPr>
                <w:rFonts w:cs="Arial"/>
                <w:color w:val="000000" w:themeColor="text1"/>
              </w:rPr>
              <w:t>235</w:t>
            </w:r>
          </w:p>
        </w:tc>
        <w:tc>
          <w:tcPr>
            <w:tcW w:w="979" w:type="dxa"/>
          </w:tcPr>
          <w:p w14:paraId="153FE531" w14:textId="28A90F1F" w:rsidR="002A30D5" w:rsidRDefault="002A30D5" w:rsidP="002A30D5">
            <w:pPr>
              <w:ind w:right="-205"/>
              <w:jc w:val="center"/>
              <w:rPr>
                <w:rFonts w:cs="Arial"/>
                <w:color w:val="000000" w:themeColor="text1"/>
              </w:rPr>
            </w:pPr>
            <w:r>
              <w:rPr>
                <w:rFonts w:cs="Arial"/>
                <w:color w:val="000000" w:themeColor="text1"/>
              </w:rPr>
              <w:t>952</w:t>
            </w:r>
          </w:p>
        </w:tc>
      </w:tr>
    </w:tbl>
    <w:p w14:paraId="44EC5D8D" w14:textId="39499863" w:rsidR="00A949C7" w:rsidRPr="00810F82" w:rsidRDefault="00D83F16" w:rsidP="00CE4F07">
      <w:pPr>
        <w:ind w:right="-205"/>
        <w:jc w:val="both"/>
        <w:rPr>
          <w:rFonts w:cs="Arial"/>
          <w:color w:val="000000" w:themeColor="text1"/>
          <w:sz w:val="20"/>
          <w:szCs w:val="20"/>
        </w:rPr>
      </w:pPr>
      <w:r w:rsidRPr="001804DF">
        <w:rPr>
          <w:rFonts w:cs="Arial"/>
          <w:color w:val="000000" w:themeColor="text1"/>
          <w:sz w:val="20"/>
          <w:szCs w:val="20"/>
        </w:rPr>
        <w:t xml:space="preserve">Source: </w:t>
      </w:r>
      <w:proofErr w:type="spellStart"/>
      <w:r w:rsidRPr="001804DF">
        <w:rPr>
          <w:rFonts w:cs="Arial"/>
          <w:color w:val="000000" w:themeColor="text1"/>
          <w:sz w:val="20"/>
          <w:szCs w:val="20"/>
        </w:rPr>
        <w:t>Worksafe</w:t>
      </w:r>
      <w:proofErr w:type="spellEnd"/>
      <w:r w:rsidRPr="001804DF">
        <w:rPr>
          <w:rFonts w:cs="Arial"/>
          <w:color w:val="000000" w:themeColor="text1"/>
          <w:sz w:val="20"/>
          <w:szCs w:val="20"/>
        </w:rPr>
        <w:t xml:space="preserve"> Tasmania</w:t>
      </w:r>
      <w:r w:rsidR="001E7870">
        <w:rPr>
          <w:rFonts w:cs="Arial"/>
          <w:color w:val="000000" w:themeColor="text1"/>
          <w:sz w:val="20"/>
          <w:szCs w:val="20"/>
        </w:rPr>
        <w:t xml:space="preserve">. </w:t>
      </w:r>
    </w:p>
    <w:p w14:paraId="113388E8" w14:textId="77777777" w:rsidR="00F47A7E" w:rsidRDefault="00F47A7E" w:rsidP="00CE4F07">
      <w:pPr>
        <w:ind w:right="-205"/>
        <w:jc w:val="both"/>
        <w:rPr>
          <w:rFonts w:cs="Arial"/>
          <w:color w:val="000000" w:themeColor="text1"/>
        </w:rPr>
      </w:pPr>
    </w:p>
    <w:p w14:paraId="4FB78D5E" w14:textId="289F9EB2" w:rsidR="00446F55" w:rsidRDefault="00446F55" w:rsidP="00446F55">
      <w:pPr>
        <w:shd w:val="clear" w:color="auto" w:fill="FFFFFF"/>
        <w:jc w:val="both"/>
        <w:textAlignment w:val="baseline"/>
        <w:rPr>
          <w:rFonts w:ascii="Cambria" w:eastAsia="Times New Roman" w:hAnsi="Cambria" w:cs="Times New Roman"/>
          <w:color w:val="000000"/>
          <w:lang w:val="en-AU" w:eastAsia="en-GB"/>
        </w:rPr>
      </w:pPr>
      <w:r w:rsidRPr="00446F55">
        <w:rPr>
          <w:rFonts w:ascii="Cambria" w:eastAsia="Times New Roman" w:hAnsi="Cambria" w:cs="Times New Roman"/>
          <w:color w:val="000000"/>
          <w:lang w:val="en-AU" w:eastAsia="en-GB"/>
        </w:rPr>
        <w:lastRenderedPageBreak/>
        <w:t>In March 2013, the Sentencing Advisory Council released its final report 'Assaults on Emergency Service Workers'.</w:t>
      </w:r>
      <w:r>
        <w:rPr>
          <w:rStyle w:val="FootnoteReference"/>
          <w:rFonts w:ascii="Cambria" w:eastAsia="Times New Roman" w:hAnsi="Cambria" w:cs="Times New Roman"/>
          <w:color w:val="000000"/>
          <w:lang w:val="en-AU" w:eastAsia="en-GB"/>
        </w:rPr>
        <w:footnoteReference w:id="25"/>
      </w:r>
      <w:r w:rsidRPr="00446F55">
        <w:rPr>
          <w:rFonts w:ascii="Cambria" w:eastAsia="Times New Roman" w:hAnsi="Cambria" w:cs="Times New Roman"/>
          <w:color w:val="000000"/>
          <w:lang w:val="en-AU" w:eastAsia="en-GB"/>
        </w:rPr>
        <w:t xml:space="preserve"> The report recommended that the definition of an emergency service</w:t>
      </w:r>
      <w:r w:rsidR="00261D35">
        <w:rPr>
          <w:rFonts w:ascii="Cambria" w:eastAsia="Times New Roman" w:hAnsi="Cambria" w:cs="Times New Roman"/>
          <w:color w:val="000000"/>
          <w:lang w:val="en-AU" w:eastAsia="en-GB"/>
        </w:rPr>
        <w:t>s</w:t>
      </w:r>
      <w:r w:rsidRPr="00446F55">
        <w:rPr>
          <w:rFonts w:ascii="Cambria" w:eastAsia="Times New Roman" w:hAnsi="Cambria" w:cs="Times New Roman"/>
          <w:color w:val="000000"/>
          <w:lang w:val="en-AU" w:eastAsia="en-GB"/>
        </w:rPr>
        <w:t xml:space="preserve"> worker </w:t>
      </w:r>
      <w:r>
        <w:rPr>
          <w:rFonts w:ascii="Cambria" w:eastAsia="Times New Roman" w:hAnsi="Cambria" w:cs="Times New Roman"/>
          <w:color w:val="000000"/>
          <w:lang w:val="en-AU" w:eastAsia="en-GB"/>
        </w:rPr>
        <w:t>be defined narrowly</w:t>
      </w:r>
      <w:r w:rsidRPr="00446F55">
        <w:rPr>
          <w:rFonts w:ascii="Cambria" w:eastAsia="Times New Roman" w:hAnsi="Cambria" w:cs="Times New Roman"/>
          <w:color w:val="000000"/>
          <w:lang w:val="en-AU" w:eastAsia="en-GB"/>
        </w:rPr>
        <w:t xml:space="preserve"> </w:t>
      </w:r>
      <w:r>
        <w:rPr>
          <w:rFonts w:ascii="Cambria" w:eastAsia="Times New Roman" w:hAnsi="Cambria" w:cs="Times New Roman"/>
          <w:color w:val="000000"/>
          <w:lang w:val="en-AU" w:eastAsia="en-GB"/>
        </w:rPr>
        <w:t>as</w:t>
      </w:r>
      <w:r w:rsidRPr="00446F55">
        <w:rPr>
          <w:rFonts w:ascii="Cambria" w:eastAsia="Times New Roman" w:hAnsi="Cambria" w:cs="Times New Roman"/>
          <w:color w:val="000000"/>
          <w:lang w:val="en-AU" w:eastAsia="en-GB"/>
        </w:rPr>
        <w:t xml:space="preserve"> "those at the forefront of an emergency".</w:t>
      </w:r>
      <w:r>
        <w:rPr>
          <w:rStyle w:val="FootnoteReference"/>
          <w:rFonts w:ascii="Cambria" w:eastAsia="Times New Roman" w:hAnsi="Cambria" w:cs="Times New Roman"/>
          <w:color w:val="000000"/>
          <w:lang w:val="en-AU" w:eastAsia="en-GB"/>
        </w:rPr>
        <w:footnoteReference w:id="26"/>
      </w:r>
      <w:r w:rsidRPr="00446F55">
        <w:rPr>
          <w:rFonts w:ascii="Cambria" w:eastAsia="Times New Roman" w:hAnsi="Cambria" w:cs="Times New Roman"/>
          <w:color w:val="000000"/>
          <w:lang w:val="en-AU" w:eastAsia="en-GB"/>
        </w:rPr>
        <w:t xml:space="preserve"> </w:t>
      </w:r>
    </w:p>
    <w:p w14:paraId="3F47D39E" w14:textId="77777777" w:rsidR="00446F55" w:rsidRDefault="00446F55" w:rsidP="00446F55">
      <w:pPr>
        <w:shd w:val="clear" w:color="auto" w:fill="FFFFFF"/>
        <w:jc w:val="both"/>
        <w:textAlignment w:val="baseline"/>
        <w:rPr>
          <w:rFonts w:ascii="Cambria" w:eastAsia="Times New Roman" w:hAnsi="Cambria" w:cs="Times New Roman"/>
          <w:color w:val="000000"/>
          <w:lang w:val="en-AU" w:eastAsia="en-GB"/>
        </w:rPr>
      </w:pPr>
    </w:p>
    <w:p w14:paraId="5844EED2" w14:textId="616BA948" w:rsidR="00261D35" w:rsidRDefault="00446F55" w:rsidP="00F95F3F">
      <w:pPr>
        <w:shd w:val="clear" w:color="auto" w:fill="FFFFFF"/>
        <w:jc w:val="both"/>
        <w:textAlignment w:val="baseline"/>
        <w:rPr>
          <w:rFonts w:ascii="Cambria" w:eastAsia="Times New Roman" w:hAnsi="Cambria" w:cs="Times New Roman"/>
          <w:color w:val="000000"/>
          <w:lang w:val="en-AU" w:eastAsia="en-GB"/>
        </w:rPr>
      </w:pPr>
      <w:r w:rsidRPr="00446F55">
        <w:rPr>
          <w:rFonts w:ascii="Cambria" w:eastAsia="Times New Roman" w:hAnsi="Cambria" w:cs="Times New Roman"/>
          <w:color w:val="000000"/>
          <w:lang w:val="en-AU" w:eastAsia="en-GB"/>
        </w:rPr>
        <w:t xml:space="preserve">We strongly agree with the Sentencing Advisory Council </w:t>
      </w:r>
      <w:r>
        <w:rPr>
          <w:rFonts w:ascii="Cambria" w:eastAsia="Times New Roman" w:hAnsi="Cambria" w:cs="Times New Roman"/>
          <w:color w:val="000000"/>
          <w:lang w:val="en-AU" w:eastAsia="en-GB"/>
        </w:rPr>
        <w:t xml:space="preserve">that </w:t>
      </w:r>
      <w:r w:rsidR="00261D35">
        <w:rPr>
          <w:rFonts w:ascii="Cambria" w:eastAsia="Times New Roman" w:hAnsi="Cambria" w:cs="Times New Roman"/>
          <w:color w:val="000000"/>
          <w:lang w:val="en-AU" w:eastAsia="en-GB"/>
        </w:rPr>
        <w:t xml:space="preserve">only </w:t>
      </w:r>
      <w:r>
        <w:rPr>
          <w:rFonts w:ascii="Cambria" w:eastAsia="Times New Roman" w:hAnsi="Cambria" w:cs="Times New Roman"/>
          <w:color w:val="000000"/>
          <w:lang w:val="en-AU" w:eastAsia="en-GB"/>
        </w:rPr>
        <w:t>those occupations addressing emergencies shoul</w:t>
      </w:r>
      <w:r w:rsidR="00261D35">
        <w:rPr>
          <w:rFonts w:ascii="Cambria" w:eastAsia="Times New Roman" w:hAnsi="Cambria" w:cs="Times New Roman"/>
          <w:color w:val="000000"/>
          <w:lang w:val="en-AU" w:eastAsia="en-GB"/>
        </w:rPr>
        <w:t>d</w:t>
      </w:r>
      <w:r>
        <w:rPr>
          <w:rFonts w:ascii="Cambria" w:eastAsia="Times New Roman" w:hAnsi="Cambria" w:cs="Times New Roman"/>
          <w:color w:val="000000"/>
          <w:lang w:val="en-AU" w:eastAsia="en-GB"/>
        </w:rPr>
        <w:t xml:space="preserve"> be included in the definition of an emergency service</w:t>
      </w:r>
      <w:r w:rsidR="00261D35">
        <w:rPr>
          <w:rFonts w:ascii="Cambria" w:eastAsia="Times New Roman" w:hAnsi="Cambria" w:cs="Times New Roman"/>
          <w:color w:val="000000"/>
          <w:lang w:val="en-AU" w:eastAsia="en-GB"/>
        </w:rPr>
        <w:t>s</w:t>
      </w:r>
      <w:r>
        <w:rPr>
          <w:rFonts w:ascii="Cambria" w:eastAsia="Times New Roman" w:hAnsi="Cambria" w:cs="Times New Roman"/>
          <w:color w:val="000000"/>
          <w:lang w:val="en-AU" w:eastAsia="en-GB"/>
        </w:rPr>
        <w:t xml:space="preserve"> worker</w:t>
      </w:r>
      <w:r w:rsidR="00F95F3F">
        <w:rPr>
          <w:rFonts w:ascii="Cambria" w:eastAsia="Times New Roman" w:hAnsi="Cambria" w:cs="Times New Roman"/>
          <w:color w:val="000000"/>
          <w:lang w:val="en-AU" w:eastAsia="en-GB"/>
        </w:rPr>
        <w:t>. We also see no justification for broadening presumptive minimum sentences to other so-called ‘frontline workers’. C</w:t>
      </w:r>
      <w:r w:rsidRPr="00446F55">
        <w:rPr>
          <w:rFonts w:ascii="Cambria" w:eastAsia="Times New Roman" w:hAnsi="Cambria" w:cs="Times New Roman"/>
          <w:color w:val="000000"/>
          <w:lang w:val="en-AU" w:eastAsia="en-GB"/>
        </w:rPr>
        <w:t>hild safety officers, correctional services officers,</w:t>
      </w:r>
      <w:r w:rsidR="00F95F3F">
        <w:rPr>
          <w:rFonts w:ascii="Cambria" w:eastAsia="Times New Roman" w:hAnsi="Cambria" w:cs="Times New Roman"/>
          <w:color w:val="000000"/>
          <w:lang w:val="en-AU" w:eastAsia="en-GB"/>
        </w:rPr>
        <w:t xml:space="preserve"> </w:t>
      </w:r>
      <w:r w:rsidR="00261D35">
        <w:rPr>
          <w:rFonts w:ascii="Cambria" w:eastAsia="Times New Roman" w:hAnsi="Cambria" w:cs="Times New Roman"/>
          <w:color w:val="000000"/>
          <w:lang w:val="en-AU" w:eastAsia="en-GB"/>
        </w:rPr>
        <w:t xml:space="preserve">health workers, </w:t>
      </w:r>
      <w:r w:rsidRPr="00446F55">
        <w:rPr>
          <w:rFonts w:ascii="Cambria" w:eastAsia="Times New Roman" w:hAnsi="Cambria" w:cs="Times New Roman"/>
          <w:color w:val="000000"/>
          <w:lang w:val="en-AU" w:eastAsia="en-GB"/>
        </w:rPr>
        <w:t xml:space="preserve">Workplace Healthy and Safety inspectors, transport workers and retail or hospitality workers should </w:t>
      </w:r>
      <w:r w:rsidR="00F95F3F">
        <w:rPr>
          <w:rFonts w:ascii="Cambria" w:eastAsia="Times New Roman" w:hAnsi="Cambria" w:cs="Times New Roman"/>
          <w:color w:val="000000"/>
          <w:lang w:val="en-AU" w:eastAsia="en-GB"/>
        </w:rPr>
        <w:t xml:space="preserve">all </w:t>
      </w:r>
      <w:r w:rsidRPr="00446F55">
        <w:rPr>
          <w:rFonts w:ascii="Cambria" w:eastAsia="Times New Roman" w:hAnsi="Cambria" w:cs="Times New Roman"/>
          <w:color w:val="000000"/>
          <w:lang w:val="en-AU" w:eastAsia="en-GB"/>
        </w:rPr>
        <w:t xml:space="preserve">be excluded from the </w:t>
      </w:r>
      <w:r w:rsidR="00F95F3F">
        <w:rPr>
          <w:rFonts w:ascii="Cambria" w:eastAsia="Times New Roman" w:hAnsi="Cambria" w:cs="Times New Roman"/>
          <w:color w:val="000000"/>
          <w:lang w:val="en-AU" w:eastAsia="en-GB"/>
        </w:rPr>
        <w:t xml:space="preserve">Bill. </w:t>
      </w:r>
    </w:p>
    <w:p w14:paraId="727E216E" w14:textId="77777777" w:rsidR="00000B1D" w:rsidRDefault="00000B1D" w:rsidP="00CE4F07">
      <w:pPr>
        <w:ind w:right="-205"/>
        <w:jc w:val="both"/>
        <w:rPr>
          <w:rFonts w:cs="Arial"/>
          <w:color w:val="000000" w:themeColor="text1"/>
        </w:rPr>
      </w:pPr>
    </w:p>
    <w:p w14:paraId="41FFFA1F" w14:textId="77777777" w:rsidR="00261D35" w:rsidRDefault="00526235" w:rsidP="00977680">
      <w:pPr>
        <w:pBdr>
          <w:top w:val="single" w:sz="4" w:space="1" w:color="auto"/>
          <w:left w:val="single" w:sz="4" w:space="4" w:color="auto"/>
          <w:bottom w:val="single" w:sz="4" w:space="1" w:color="auto"/>
          <w:right w:val="single" w:sz="4" w:space="4" w:color="auto"/>
        </w:pBdr>
        <w:ind w:right="-205"/>
        <w:jc w:val="both"/>
        <w:rPr>
          <w:rFonts w:cs="Arial"/>
          <w:color w:val="000000" w:themeColor="text1"/>
        </w:rPr>
      </w:pPr>
      <w:r w:rsidRPr="00977680">
        <w:rPr>
          <w:rFonts w:cs="Arial"/>
          <w:b/>
          <w:bCs/>
          <w:color w:val="000000" w:themeColor="text1"/>
        </w:rPr>
        <w:t>Recommendation:</w:t>
      </w:r>
      <w:r>
        <w:rPr>
          <w:rFonts w:cs="Arial"/>
          <w:color w:val="000000" w:themeColor="text1"/>
        </w:rPr>
        <w:t xml:space="preserve"> </w:t>
      </w:r>
    </w:p>
    <w:p w14:paraId="2AC17A6B" w14:textId="6EADEF21" w:rsidR="00261D35" w:rsidRPr="00261D35" w:rsidRDefault="00526235" w:rsidP="00261D35">
      <w:pPr>
        <w:pBdr>
          <w:top w:val="single" w:sz="4" w:space="1" w:color="auto"/>
          <w:left w:val="single" w:sz="4" w:space="4" w:color="auto"/>
          <w:bottom w:val="single" w:sz="4" w:space="1" w:color="auto"/>
          <w:right w:val="single" w:sz="4" w:space="4" w:color="auto"/>
        </w:pBdr>
        <w:ind w:right="-205"/>
        <w:jc w:val="both"/>
        <w:rPr>
          <w:rFonts w:cs="Arial"/>
          <w:color w:val="000000" w:themeColor="text1"/>
        </w:rPr>
      </w:pPr>
      <w:r w:rsidRPr="00261D35">
        <w:rPr>
          <w:rFonts w:cs="Arial"/>
          <w:color w:val="000000" w:themeColor="text1"/>
        </w:rPr>
        <w:t xml:space="preserve">That the definition of </w:t>
      </w:r>
      <w:r w:rsidR="0041023B">
        <w:rPr>
          <w:rFonts w:cs="Arial"/>
          <w:color w:val="000000" w:themeColor="text1"/>
        </w:rPr>
        <w:t xml:space="preserve">‘frontline workers’ be removed and </w:t>
      </w:r>
      <w:r w:rsidR="00261D35" w:rsidRPr="00261D35">
        <w:rPr>
          <w:rFonts w:cs="Arial"/>
          <w:color w:val="000000" w:themeColor="text1"/>
        </w:rPr>
        <w:t xml:space="preserve">‘emergency services officer’ be limited to those persons working or volunteering </w:t>
      </w:r>
      <w:r w:rsidRPr="00261D35">
        <w:rPr>
          <w:rFonts w:cs="Arial"/>
          <w:color w:val="000000" w:themeColor="text1"/>
        </w:rPr>
        <w:t xml:space="preserve">for emergency services. </w:t>
      </w:r>
    </w:p>
    <w:p w14:paraId="3AC2638C" w14:textId="77777777" w:rsidR="0041023B" w:rsidRDefault="0041023B" w:rsidP="00AC1FF0">
      <w:pPr>
        <w:shd w:val="clear" w:color="auto" w:fill="FFFFFF"/>
        <w:textAlignment w:val="baseline"/>
        <w:rPr>
          <w:rFonts w:ascii="Aptos" w:eastAsia="Times New Roman" w:hAnsi="Aptos" w:cs="Times New Roman"/>
          <w:color w:val="000000"/>
          <w:lang w:val="en-AU" w:eastAsia="en-GB"/>
        </w:rPr>
      </w:pPr>
    </w:p>
    <w:p w14:paraId="6B5317F5" w14:textId="77777777" w:rsidR="00A162C1" w:rsidRPr="00FA08CC" w:rsidRDefault="00A162C1" w:rsidP="00A162C1">
      <w:pPr>
        <w:ind w:right="-205"/>
        <w:jc w:val="both"/>
        <w:outlineLvl w:val="0"/>
        <w:rPr>
          <w:b/>
        </w:rPr>
      </w:pPr>
      <w:r w:rsidRPr="00FA08CC">
        <w:rPr>
          <w:b/>
        </w:rPr>
        <w:t xml:space="preserve">Summary </w:t>
      </w:r>
    </w:p>
    <w:p w14:paraId="6DCAFCED" w14:textId="4EB77652" w:rsidR="00A162C1" w:rsidRPr="00FA08CC" w:rsidRDefault="00000B1D" w:rsidP="00A162C1">
      <w:pPr>
        <w:ind w:right="-205"/>
        <w:jc w:val="both"/>
      </w:pPr>
      <w:r>
        <w:t>We strongly believe that</w:t>
      </w:r>
      <w:r w:rsidR="00A162C1" w:rsidRPr="00FA08CC">
        <w:t xml:space="preserve"> the Bill will not</w:t>
      </w:r>
      <w:r>
        <w:t xml:space="preserve"> </w:t>
      </w:r>
      <w:r w:rsidR="00A162C1" w:rsidRPr="00FA08CC">
        <w:t xml:space="preserve">protect </w:t>
      </w:r>
      <w:r>
        <w:t>either frontline workers or emergency service workers</w:t>
      </w:r>
      <w:r w:rsidR="00A162C1" w:rsidRPr="00FA08CC">
        <w:t>.</w:t>
      </w:r>
      <w:r>
        <w:t xml:space="preserve"> </w:t>
      </w:r>
      <w:r w:rsidR="00A162C1" w:rsidRPr="00FA08CC">
        <w:t xml:space="preserve">The evidence demonstrates that the mandatory sentence provision already in place </w:t>
      </w:r>
      <w:r>
        <w:t xml:space="preserve">for assaults against police officers </w:t>
      </w:r>
      <w:r w:rsidR="00A162C1" w:rsidRPr="00FA08CC">
        <w:t xml:space="preserve">has not seen any decrease in assaults against police officers and there is no evidence that introducing </w:t>
      </w:r>
      <w:r>
        <w:t>presumptive minimum</w:t>
      </w:r>
      <w:r w:rsidR="00A162C1" w:rsidRPr="00FA08CC">
        <w:t xml:space="preserve"> sentences for </w:t>
      </w:r>
      <w:r>
        <w:t>other occupations</w:t>
      </w:r>
      <w:r w:rsidR="00A162C1" w:rsidRPr="00FA08CC">
        <w:t xml:space="preserve"> will have any deterrent effect. </w:t>
      </w:r>
    </w:p>
    <w:p w14:paraId="1F55F1BB" w14:textId="77777777" w:rsidR="00A162C1" w:rsidRPr="00FA08CC" w:rsidRDefault="00A162C1" w:rsidP="00A162C1">
      <w:pPr>
        <w:ind w:right="-205"/>
        <w:jc w:val="both"/>
      </w:pPr>
    </w:p>
    <w:p w14:paraId="0212B390" w14:textId="1114BAC8" w:rsidR="00A201B7" w:rsidRDefault="00A162C1" w:rsidP="00A162C1">
      <w:pPr>
        <w:ind w:right="-205"/>
        <w:jc w:val="both"/>
      </w:pPr>
      <w:r>
        <w:t xml:space="preserve">We strongly believe that the current sentencing regime for assaults on emergency services workers is appropriate, and that the judiciary should retain the fullest discretion in reflecting the aggravating and mitigating features when sentencing the </w:t>
      </w:r>
      <w:r w:rsidR="00000B1D">
        <w:t>offender</w:t>
      </w:r>
      <w:r>
        <w:t xml:space="preserve">. </w:t>
      </w:r>
    </w:p>
    <w:p w14:paraId="242DCC4E" w14:textId="77777777" w:rsidR="00A201B7" w:rsidRDefault="00A201B7" w:rsidP="00A162C1">
      <w:pPr>
        <w:ind w:right="-205"/>
        <w:jc w:val="both"/>
      </w:pPr>
    </w:p>
    <w:p w14:paraId="7E875201" w14:textId="6AEED403" w:rsidR="00A201B7" w:rsidRPr="00A201B7" w:rsidRDefault="00A201B7" w:rsidP="00A162C1">
      <w:pPr>
        <w:ind w:right="-205"/>
        <w:jc w:val="both"/>
      </w:pPr>
      <w:r w:rsidRPr="00A201B7">
        <w:rPr>
          <w:color w:val="000000"/>
        </w:rPr>
        <w:t xml:space="preserve">However, if the Government does intend to proceed with the Bill we urge them to merely amend the definition of ‘emergency service worker’ in section 34B of the </w:t>
      </w:r>
      <w:r w:rsidRPr="00A201B7">
        <w:rPr>
          <w:i/>
          <w:iCs/>
          <w:color w:val="000000"/>
        </w:rPr>
        <w:t>Police Offences Act 1935</w:t>
      </w:r>
      <w:r w:rsidRPr="00A201B7">
        <w:rPr>
          <w:color w:val="000000"/>
        </w:rPr>
        <w:t xml:space="preserve"> (Tas) to include those working </w:t>
      </w:r>
      <w:r>
        <w:rPr>
          <w:color w:val="000000"/>
        </w:rPr>
        <w:t>or volunteering for emergency services</w:t>
      </w:r>
      <w:r w:rsidRPr="00A201B7">
        <w:rPr>
          <w:color w:val="000000"/>
        </w:rPr>
        <w:t>.</w:t>
      </w:r>
    </w:p>
    <w:p w14:paraId="64AD4ECF" w14:textId="77777777" w:rsidR="00A162C1" w:rsidRDefault="00A162C1" w:rsidP="00A162C1">
      <w:pPr>
        <w:ind w:right="-205"/>
        <w:jc w:val="both"/>
      </w:pPr>
    </w:p>
    <w:p w14:paraId="58FDCDD4" w14:textId="77777777" w:rsidR="00A162C1" w:rsidRPr="00FA08CC" w:rsidRDefault="00A162C1" w:rsidP="00A162C1">
      <w:pPr>
        <w:ind w:right="-205"/>
        <w:jc w:val="both"/>
        <w:rPr>
          <w:rFonts w:eastAsia="Times New Roman" w:cs="Times New Roman"/>
        </w:rPr>
      </w:pPr>
      <w:r w:rsidRPr="00FA08CC">
        <w:rPr>
          <w:rFonts w:eastAsia="Times New Roman" w:cs="Times New Roman"/>
        </w:rPr>
        <w:t xml:space="preserve">If you have any queries or we can be of any further assistance, please do not hesitate to contact us. </w:t>
      </w:r>
    </w:p>
    <w:p w14:paraId="1BCE33A8" w14:textId="77777777" w:rsidR="00A162C1" w:rsidRPr="00FA08CC" w:rsidRDefault="00A162C1" w:rsidP="00A162C1">
      <w:pPr>
        <w:ind w:right="-205"/>
        <w:jc w:val="both"/>
        <w:rPr>
          <w:rFonts w:eastAsia="Times New Roman" w:cs="Times New Roman"/>
        </w:rPr>
      </w:pPr>
    </w:p>
    <w:p w14:paraId="50A06E40" w14:textId="77777777" w:rsidR="00A162C1" w:rsidRPr="00FA08CC" w:rsidRDefault="00A162C1" w:rsidP="00A162C1">
      <w:pPr>
        <w:ind w:right="-205"/>
        <w:jc w:val="both"/>
        <w:rPr>
          <w:rFonts w:eastAsia="Times New Roman" w:cs="Times New Roman"/>
        </w:rPr>
      </w:pPr>
    </w:p>
    <w:p w14:paraId="35B26C43" w14:textId="5FB602A4" w:rsidR="00A162C1" w:rsidRPr="00FA08CC" w:rsidRDefault="00A162C1" w:rsidP="00A162C1">
      <w:pPr>
        <w:ind w:right="-205"/>
        <w:jc w:val="both"/>
        <w:rPr>
          <w:rFonts w:eastAsia="Times New Roman" w:cs="Times New Roman"/>
        </w:rPr>
      </w:pPr>
      <w:r w:rsidRPr="00FA08CC">
        <w:rPr>
          <w:rFonts w:eastAsia="Times New Roman" w:cs="Times New Roman"/>
        </w:rPr>
        <w:t xml:space="preserve">Yours </w:t>
      </w:r>
      <w:r w:rsidR="002A30D5">
        <w:rPr>
          <w:rFonts w:eastAsia="Times New Roman" w:cs="Times New Roman"/>
        </w:rPr>
        <w:t>F</w:t>
      </w:r>
      <w:r w:rsidRPr="00FA08CC">
        <w:rPr>
          <w:rFonts w:eastAsia="Times New Roman" w:cs="Times New Roman"/>
        </w:rPr>
        <w:t>aithfully,</w:t>
      </w:r>
    </w:p>
    <w:p w14:paraId="18F0061B" w14:textId="77777777" w:rsidR="00A162C1" w:rsidRPr="00FA08CC" w:rsidRDefault="00A162C1" w:rsidP="00A162C1">
      <w:pPr>
        <w:ind w:right="-205"/>
        <w:jc w:val="both"/>
        <w:rPr>
          <w:rFonts w:eastAsia="Times New Roman" w:cs="Times New Roman"/>
        </w:rPr>
      </w:pPr>
    </w:p>
    <w:p w14:paraId="4B270363" w14:textId="77777777" w:rsidR="00A162C1" w:rsidRPr="00FA08CC" w:rsidRDefault="00A162C1" w:rsidP="00A162C1">
      <w:pPr>
        <w:ind w:right="-205"/>
        <w:jc w:val="both"/>
        <w:rPr>
          <w:rFonts w:eastAsia="Times New Roman" w:cs="Times New Roman"/>
        </w:rPr>
      </w:pPr>
    </w:p>
    <w:p w14:paraId="32B9D50B" w14:textId="77777777" w:rsidR="00A162C1" w:rsidRPr="00FA08CC" w:rsidRDefault="00A162C1" w:rsidP="00A162C1">
      <w:pPr>
        <w:ind w:right="-205"/>
        <w:jc w:val="both"/>
        <w:rPr>
          <w:rFonts w:eastAsia="Times New Roman" w:cs="Times New Roman"/>
        </w:rPr>
      </w:pPr>
    </w:p>
    <w:p w14:paraId="1E2EC5F0" w14:textId="77777777" w:rsidR="00A162C1" w:rsidRPr="00FA08CC" w:rsidRDefault="00A162C1" w:rsidP="00A162C1">
      <w:pPr>
        <w:ind w:right="-205"/>
        <w:jc w:val="both"/>
        <w:rPr>
          <w:rFonts w:eastAsia="Times New Roman" w:cs="Times New Roman"/>
        </w:rPr>
      </w:pPr>
      <w:r w:rsidRPr="00FA08CC">
        <w:rPr>
          <w:rFonts w:eastAsia="Times New Roman" w:cs="Times New Roman"/>
        </w:rPr>
        <w:t xml:space="preserve">Benedict </w:t>
      </w:r>
      <w:proofErr w:type="spellStart"/>
      <w:r w:rsidRPr="00FA08CC">
        <w:rPr>
          <w:rFonts w:eastAsia="Times New Roman" w:cs="Times New Roman"/>
        </w:rPr>
        <w:t>Bartl</w:t>
      </w:r>
      <w:proofErr w:type="spellEnd"/>
    </w:p>
    <w:p w14:paraId="036C51D9" w14:textId="77777777" w:rsidR="00A162C1" w:rsidRPr="00FA08CC" w:rsidRDefault="00A162C1" w:rsidP="00A162C1">
      <w:pPr>
        <w:ind w:right="-205"/>
        <w:jc w:val="both"/>
        <w:rPr>
          <w:rFonts w:eastAsia="Times New Roman" w:cs="Times New Roman"/>
        </w:rPr>
      </w:pPr>
      <w:r w:rsidRPr="00FA08CC">
        <w:rPr>
          <w:rFonts w:eastAsia="Times New Roman" w:cs="Times New Roman"/>
        </w:rPr>
        <w:t>Policy Officer</w:t>
      </w:r>
    </w:p>
    <w:p w14:paraId="7275B459" w14:textId="51978790" w:rsidR="00612861" w:rsidRPr="00A201B7" w:rsidRDefault="00A162C1" w:rsidP="00A201B7">
      <w:pPr>
        <w:pBdr>
          <w:bottom w:val="single" w:sz="6" w:space="1" w:color="auto"/>
        </w:pBdr>
        <w:ind w:right="-205"/>
        <w:jc w:val="both"/>
        <w:rPr>
          <w:rFonts w:eastAsia="Times New Roman" w:cs="Times New Roman"/>
          <w:b/>
        </w:rPr>
      </w:pPr>
      <w:r w:rsidRPr="00FA08CC">
        <w:rPr>
          <w:rFonts w:eastAsia="Times New Roman" w:cs="Times New Roman"/>
          <w:b/>
        </w:rPr>
        <w:t xml:space="preserve">Community Legal </w:t>
      </w:r>
      <w:proofErr w:type="spellStart"/>
      <w:r w:rsidRPr="00FA08CC">
        <w:rPr>
          <w:rFonts w:eastAsia="Times New Roman" w:cs="Times New Roman"/>
          <w:b/>
        </w:rPr>
        <w:t>Centres</w:t>
      </w:r>
      <w:proofErr w:type="spellEnd"/>
      <w:r w:rsidRPr="00FA08CC">
        <w:rPr>
          <w:rFonts w:eastAsia="Times New Roman" w:cs="Times New Roman"/>
          <w:b/>
        </w:rPr>
        <w:t xml:space="preserve"> Tasmania</w:t>
      </w:r>
    </w:p>
    <w:sectPr w:rsidR="00612861" w:rsidRPr="00A201B7" w:rsidSect="004C0469">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E31A" w14:textId="77777777" w:rsidR="00415BCF" w:rsidRDefault="00415BCF" w:rsidP="00E272F6">
      <w:r>
        <w:separator/>
      </w:r>
    </w:p>
  </w:endnote>
  <w:endnote w:type="continuationSeparator" w:id="0">
    <w:p w14:paraId="210834A1" w14:textId="77777777" w:rsidR="00415BCF" w:rsidRDefault="00415BCF" w:rsidP="00E2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7226626"/>
      <w:docPartObj>
        <w:docPartGallery w:val="Page Numbers (Bottom of Page)"/>
        <w:docPartUnique/>
      </w:docPartObj>
    </w:sdtPr>
    <w:sdtContent>
      <w:p w14:paraId="6526CFCF" w14:textId="03DC1359" w:rsidR="0033785A" w:rsidRDefault="0033785A" w:rsidP="000D3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A2E48D" w14:textId="77777777" w:rsidR="0033785A" w:rsidRDefault="0033785A" w:rsidP="003378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626870"/>
      <w:docPartObj>
        <w:docPartGallery w:val="Page Numbers (Bottom of Page)"/>
        <w:docPartUnique/>
      </w:docPartObj>
    </w:sdtPr>
    <w:sdtContent>
      <w:p w14:paraId="41AAEE1B" w14:textId="5212152E" w:rsidR="0033785A" w:rsidRDefault="0033785A" w:rsidP="000D3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2D8096" w14:textId="77777777" w:rsidR="0033785A" w:rsidRDefault="0033785A" w:rsidP="003378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29D6" w14:textId="77777777" w:rsidR="00415BCF" w:rsidRDefault="00415BCF" w:rsidP="00E272F6">
      <w:r>
        <w:separator/>
      </w:r>
    </w:p>
  </w:footnote>
  <w:footnote w:type="continuationSeparator" w:id="0">
    <w:p w14:paraId="03660392" w14:textId="77777777" w:rsidR="00415BCF" w:rsidRDefault="00415BCF" w:rsidP="00E272F6">
      <w:r>
        <w:continuationSeparator/>
      </w:r>
    </w:p>
  </w:footnote>
  <w:footnote w:id="1">
    <w:p w14:paraId="78511C28" w14:textId="5DCFF4DF" w:rsidR="009C0B0A" w:rsidRPr="00066F5B" w:rsidRDefault="009C0B0A" w:rsidP="009C0B0A">
      <w:pPr>
        <w:pStyle w:val="FootnoteText"/>
        <w:rPr>
          <w:rFonts w:asciiTheme="minorHAnsi" w:hAnsiTheme="minorHAnsi"/>
          <w:color w:val="000000" w:themeColor="text1"/>
          <w:sz w:val="20"/>
          <w:szCs w:val="20"/>
        </w:rPr>
      </w:pPr>
      <w:r w:rsidRPr="00066F5B">
        <w:rPr>
          <w:rStyle w:val="FootnoteReference"/>
          <w:rFonts w:asciiTheme="minorHAnsi" w:hAnsiTheme="minorHAnsi"/>
          <w:color w:val="000000" w:themeColor="text1"/>
          <w:sz w:val="20"/>
          <w:szCs w:val="20"/>
        </w:rPr>
        <w:footnoteRef/>
      </w:r>
      <w:r w:rsidRPr="00066F5B">
        <w:rPr>
          <w:rFonts w:asciiTheme="minorHAnsi" w:hAnsiTheme="minorHAnsi"/>
          <w:color w:val="000000" w:themeColor="text1"/>
          <w:sz w:val="20"/>
          <w:szCs w:val="20"/>
        </w:rPr>
        <w:t xml:space="preserve"> CLC Tas would like to acknowledge legal researcher Alec Brodie and those persons and organisations who gave freely of their time in assisting with our submission. </w:t>
      </w:r>
    </w:p>
  </w:footnote>
  <w:footnote w:id="2">
    <w:p w14:paraId="03BC4843" w14:textId="2C8CCFB5" w:rsidR="00EF761B" w:rsidRPr="00066F5B" w:rsidRDefault="00EF761B">
      <w:pPr>
        <w:pStyle w:val="FootnoteText"/>
        <w:rPr>
          <w:rFonts w:asciiTheme="minorHAnsi" w:hAnsiTheme="minorHAnsi"/>
          <w:color w:val="000000" w:themeColor="text1"/>
          <w:sz w:val="20"/>
          <w:szCs w:val="20"/>
        </w:rPr>
      </w:pPr>
      <w:r w:rsidRPr="00066F5B">
        <w:rPr>
          <w:rStyle w:val="FootnoteReference"/>
          <w:rFonts w:asciiTheme="minorHAnsi" w:hAnsiTheme="minorHAnsi"/>
          <w:color w:val="000000" w:themeColor="text1"/>
          <w:sz w:val="20"/>
          <w:szCs w:val="20"/>
        </w:rPr>
        <w:footnoteRef/>
      </w:r>
      <w:r w:rsidRPr="00066F5B">
        <w:rPr>
          <w:rFonts w:asciiTheme="minorHAnsi" w:hAnsiTheme="minorHAnsi"/>
          <w:color w:val="000000" w:themeColor="text1"/>
          <w:sz w:val="20"/>
          <w:szCs w:val="20"/>
        </w:rPr>
        <w:t xml:space="preserve"> </w:t>
      </w:r>
      <w:r w:rsidR="00EF5AB7" w:rsidRPr="00066F5B">
        <w:rPr>
          <w:rFonts w:asciiTheme="minorHAnsi" w:hAnsiTheme="minorHAnsi"/>
          <w:color w:val="000000" w:themeColor="text1"/>
          <w:sz w:val="20"/>
          <w:szCs w:val="20"/>
        </w:rPr>
        <w:t xml:space="preserve">Tasmania, </w:t>
      </w:r>
      <w:r w:rsidR="00EF5AB7" w:rsidRPr="00066F5B">
        <w:rPr>
          <w:rFonts w:asciiTheme="minorHAnsi" w:hAnsiTheme="minorHAnsi"/>
          <w:i/>
          <w:iCs/>
          <w:color w:val="000000" w:themeColor="text1"/>
          <w:sz w:val="20"/>
          <w:szCs w:val="20"/>
        </w:rPr>
        <w:t>Parliamentary Debates</w:t>
      </w:r>
      <w:r w:rsidR="00EF5AB7" w:rsidRPr="00066F5B">
        <w:rPr>
          <w:rFonts w:asciiTheme="minorHAnsi" w:hAnsiTheme="minorHAnsi"/>
          <w:color w:val="000000" w:themeColor="text1"/>
          <w:sz w:val="20"/>
          <w:szCs w:val="20"/>
        </w:rPr>
        <w:t>, House of Assembly, 1 August 2019 at 75-76 (Sue Hickey).</w:t>
      </w:r>
    </w:p>
  </w:footnote>
  <w:footnote w:id="3">
    <w:p w14:paraId="57502AC0" w14:textId="0B784521" w:rsidR="00F96D2D" w:rsidRPr="00066F5B" w:rsidRDefault="00F96D2D">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See, for example, Adrian </w:t>
      </w:r>
      <w:proofErr w:type="spellStart"/>
      <w:r w:rsidRPr="00066F5B">
        <w:rPr>
          <w:rFonts w:asciiTheme="minorHAnsi" w:hAnsiTheme="minorHAnsi"/>
          <w:sz w:val="20"/>
          <w:szCs w:val="20"/>
        </w:rPr>
        <w:t>Hoel</w:t>
      </w:r>
      <w:proofErr w:type="spellEnd"/>
      <w:r w:rsidRPr="00066F5B">
        <w:rPr>
          <w:rFonts w:asciiTheme="minorHAnsi" w:hAnsiTheme="minorHAnsi"/>
          <w:sz w:val="20"/>
          <w:szCs w:val="20"/>
        </w:rPr>
        <w:t xml:space="preserve"> and Karen Gelb, </w:t>
      </w:r>
      <w:r w:rsidRPr="00066F5B">
        <w:rPr>
          <w:rFonts w:asciiTheme="minorHAnsi" w:hAnsiTheme="minorHAnsi"/>
          <w:i/>
          <w:iCs/>
          <w:sz w:val="20"/>
          <w:szCs w:val="20"/>
        </w:rPr>
        <w:t>Sentencing matters: mandatory sentencing</w:t>
      </w:r>
      <w:r w:rsidRPr="00066F5B">
        <w:rPr>
          <w:rFonts w:asciiTheme="minorHAnsi" w:hAnsiTheme="minorHAnsi"/>
          <w:sz w:val="20"/>
          <w:szCs w:val="20"/>
        </w:rPr>
        <w:t xml:space="preserve"> (Sentencing Advisory Council Victoria: August 2008) at 6-7. </w:t>
      </w:r>
    </w:p>
  </w:footnote>
  <w:footnote w:id="4">
    <w:p w14:paraId="63E19B6B" w14:textId="483533E0" w:rsidR="00013B0C" w:rsidRPr="00066F5B" w:rsidRDefault="00013B0C">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w:t>
      </w:r>
      <w:r w:rsidRPr="00066F5B">
        <w:rPr>
          <w:rFonts w:asciiTheme="minorHAnsi" w:hAnsiTheme="minorHAnsi"/>
          <w:color w:val="000000" w:themeColor="text1"/>
          <w:sz w:val="20"/>
          <w:szCs w:val="20"/>
        </w:rPr>
        <w:t>Section 114 of the</w:t>
      </w:r>
      <w:r w:rsidRPr="00066F5B">
        <w:rPr>
          <w:rFonts w:asciiTheme="minorHAnsi" w:hAnsiTheme="minorHAnsi"/>
          <w:i/>
          <w:color w:val="000000" w:themeColor="text1"/>
          <w:sz w:val="20"/>
          <w:szCs w:val="20"/>
        </w:rPr>
        <w:t xml:space="preserve"> Criminal Code Act</w:t>
      </w:r>
      <w:r w:rsidRPr="00066F5B">
        <w:rPr>
          <w:rFonts w:asciiTheme="minorHAnsi" w:hAnsiTheme="minorHAnsi"/>
          <w:color w:val="000000" w:themeColor="text1"/>
          <w:sz w:val="20"/>
          <w:szCs w:val="20"/>
        </w:rPr>
        <w:t xml:space="preserve"> </w:t>
      </w:r>
      <w:r w:rsidRPr="00066F5B">
        <w:rPr>
          <w:rFonts w:asciiTheme="minorHAnsi" w:hAnsiTheme="minorHAnsi"/>
          <w:i/>
          <w:color w:val="000000" w:themeColor="text1"/>
          <w:sz w:val="20"/>
          <w:szCs w:val="20"/>
        </w:rPr>
        <w:t xml:space="preserve">1924 </w:t>
      </w:r>
      <w:r w:rsidRPr="00066F5B">
        <w:rPr>
          <w:rFonts w:asciiTheme="minorHAnsi" w:hAnsiTheme="minorHAnsi"/>
          <w:color w:val="000000" w:themeColor="text1"/>
          <w:sz w:val="20"/>
          <w:szCs w:val="20"/>
        </w:rPr>
        <w:t>(Tas).</w:t>
      </w:r>
    </w:p>
  </w:footnote>
  <w:footnote w:id="5">
    <w:p w14:paraId="6999C440" w14:textId="54CA68F4" w:rsidR="00EA17B1" w:rsidRPr="00066F5B" w:rsidRDefault="00EA17B1" w:rsidP="00EA17B1">
      <w:pPr>
        <w:pStyle w:val="FootnoteText"/>
        <w:rPr>
          <w:rFonts w:asciiTheme="minorHAnsi" w:hAnsiTheme="minorHAnsi"/>
          <w:sz w:val="20"/>
          <w:szCs w:val="20"/>
        </w:rPr>
      </w:pPr>
      <w:r w:rsidRPr="00066F5B">
        <w:rPr>
          <w:rStyle w:val="FootnoteReference"/>
          <w:rFonts w:asciiTheme="minorHAnsi" w:hAnsiTheme="minorHAnsi"/>
          <w:color w:val="000000" w:themeColor="text1"/>
          <w:sz w:val="20"/>
          <w:szCs w:val="20"/>
        </w:rPr>
        <w:footnoteRef/>
      </w:r>
      <w:r w:rsidRPr="00066F5B">
        <w:rPr>
          <w:rFonts w:asciiTheme="minorHAnsi" w:hAnsiTheme="minorHAnsi"/>
          <w:color w:val="000000" w:themeColor="text1"/>
          <w:sz w:val="20"/>
          <w:szCs w:val="20"/>
        </w:rPr>
        <w:t xml:space="preserve"> </w:t>
      </w:r>
      <w:r w:rsidR="00EF761B" w:rsidRPr="00066F5B">
        <w:rPr>
          <w:rFonts w:asciiTheme="minorHAnsi" w:hAnsiTheme="minorHAnsi"/>
          <w:color w:val="000000" w:themeColor="text1"/>
          <w:sz w:val="20"/>
          <w:szCs w:val="20"/>
        </w:rPr>
        <w:t xml:space="preserve">Section 16A of the </w:t>
      </w:r>
      <w:r w:rsidR="00EF761B" w:rsidRPr="00066F5B">
        <w:rPr>
          <w:rFonts w:asciiTheme="minorHAnsi" w:hAnsiTheme="minorHAnsi"/>
          <w:i/>
          <w:iCs/>
          <w:color w:val="000000" w:themeColor="text1"/>
          <w:sz w:val="20"/>
          <w:szCs w:val="20"/>
        </w:rPr>
        <w:t>Sentencing Act 1997</w:t>
      </w:r>
      <w:r w:rsidR="00EF761B" w:rsidRPr="00066F5B">
        <w:rPr>
          <w:rFonts w:asciiTheme="minorHAnsi" w:hAnsiTheme="minorHAnsi"/>
          <w:color w:val="000000" w:themeColor="text1"/>
          <w:sz w:val="20"/>
          <w:szCs w:val="20"/>
        </w:rPr>
        <w:t xml:space="preserve"> (Tas) became law following the passing of the </w:t>
      </w:r>
      <w:r w:rsidR="00EF761B" w:rsidRPr="00066F5B">
        <w:rPr>
          <w:rFonts w:asciiTheme="minorHAnsi" w:hAnsiTheme="minorHAnsi"/>
          <w:i/>
          <w:iCs/>
          <w:color w:val="000000" w:themeColor="text1"/>
          <w:sz w:val="20"/>
          <w:szCs w:val="20"/>
        </w:rPr>
        <w:t xml:space="preserve">Sentencing Amendment (Assaults on Police Officers) Bill 2014. </w:t>
      </w:r>
    </w:p>
  </w:footnote>
  <w:footnote w:id="6">
    <w:p w14:paraId="5F6C032E" w14:textId="422D4157" w:rsidR="000E56C0" w:rsidRPr="00066F5B" w:rsidRDefault="000E56C0">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Police Association of Tasmania, ‘PAT Welcomes Minimum Sentence Announcement’ (Media Release, 3 March 2010). As found in Sentencing Advisory Council, </w:t>
      </w:r>
      <w:r w:rsidRPr="00066F5B">
        <w:rPr>
          <w:rFonts w:asciiTheme="minorHAnsi" w:hAnsiTheme="minorHAnsi"/>
          <w:i/>
          <w:sz w:val="20"/>
          <w:szCs w:val="20"/>
        </w:rPr>
        <w:t>Assaults on Emergency Service Workers</w:t>
      </w:r>
      <w:r w:rsidRPr="00066F5B">
        <w:rPr>
          <w:rFonts w:asciiTheme="minorHAnsi" w:hAnsiTheme="minorHAnsi"/>
          <w:sz w:val="20"/>
          <w:szCs w:val="20"/>
        </w:rPr>
        <w:t xml:space="preserve"> (Final Report: No. 2) at 1. </w:t>
      </w:r>
    </w:p>
  </w:footnote>
  <w:footnote w:id="7">
    <w:p w14:paraId="041504FD" w14:textId="77777777" w:rsidR="00EF761B" w:rsidRPr="00066F5B" w:rsidRDefault="00EF761B" w:rsidP="00EF761B">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Productivity Commission, </w:t>
      </w:r>
      <w:r w:rsidRPr="00066F5B">
        <w:rPr>
          <w:rFonts w:asciiTheme="minorHAnsi" w:hAnsiTheme="minorHAnsi"/>
          <w:i/>
          <w:iCs/>
          <w:sz w:val="20"/>
          <w:szCs w:val="20"/>
        </w:rPr>
        <w:t>Report on Government Services 2024</w:t>
      </w:r>
      <w:r w:rsidRPr="00066F5B">
        <w:rPr>
          <w:rFonts w:asciiTheme="minorHAnsi" w:hAnsiTheme="minorHAnsi"/>
          <w:sz w:val="20"/>
          <w:szCs w:val="20"/>
        </w:rPr>
        <w:t xml:space="preserve"> (Released 29 January 2024). As found at Table 6A.2 of Justice – Police Services. The data notes that there were 1103 FTE police officers in 2014-15 and 1278 in 2022-23. </w:t>
      </w:r>
    </w:p>
  </w:footnote>
  <w:footnote w:id="8">
    <w:p w14:paraId="291B18CF" w14:textId="1061EE9C" w:rsidR="00EF761B" w:rsidRPr="00066F5B" w:rsidRDefault="00EF761B" w:rsidP="00EF761B">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w:t>
      </w:r>
      <w:r w:rsidR="00CA79A9" w:rsidRPr="00066F5B">
        <w:rPr>
          <w:rFonts w:asciiTheme="minorHAnsi" w:hAnsiTheme="minorHAnsi"/>
          <w:sz w:val="20"/>
          <w:szCs w:val="20"/>
        </w:rPr>
        <w:t xml:space="preserve">Mark Shelton, Minister for Police, Fire and Emergency Management, ‘Body worn camera roll out complete’ (Media Release: 17 July 2020). </w:t>
      </w:r>
    </w:p>
  </w:footnote>
  <w:footnote w:id="9">
    <w:p w14:paraId="0F9391F2" w14:textId="30032230" w:rsidR="00EF761B" w:rsidRPr="00066F5B" w:rsidRDefault="00EF761B" w:rsidP="00EF761B">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w:t>
      </w:r>
      <w:r w:rsidR="00CA79A9" w:rsidRPr="00066F5B">
        <w:rPr>
          <w:rFonts w:asciiTheme="minorHAnsi" w:hAnsiTheme="minorHAnsi"/>
          <w:sz w:val="20"/>
          <w:szCs w:val="20"/>
        </w:rPr>
        <w:t xml:space="preserve">Ibid. </w:t>
      </w:r>
    </w:p>
  </w:footnote>
  <w:footnote w:id="10">
    <w:p w14:paraId="2B52B51A" w14:textId="1B58DCE3" w:rsidR="00EF761B" w:rsidRPr="00066F5B" w:rsidRDefault="00EF761B" w:rsidP="00EF761B">
      <w:pPr>
        <w:pStyle w:val="FootnoteText"/>
        <w:rPr>
          <w:rFonts w:asciiTheme="minorHAnsi" w:hAnsiTheme="minorHAnsi"/>
          <w:color w:val="FF0000"/>
          <w:sz w:val="20"/>
          <w:szCs w:val="20"/>
        </w:rPr>
      </w:pPr>
      <w:r w:rsidRPr="00066F5B">
        <w:rPr>
          <w:rStyle w:val="FootnoteReference"/>
          <w:rFonts w:asciiTheme="minorHAnsi" w:hAnsiTheme="minorHAnsi"/>
          <w:color w:val="000000" w:themeColor="text1"/>
          <w:sz w:val="20"/>
          <w:szCs w:val="20"/>
        </w:rPr>
        <w:footnoteRef/>
      </w:r>
      <w:r w:rsidRPr="00066F5B">
        <w:rPr>
          <w:rFonts w:asciiTheme="minorHAnsi" w:hAnsiTheme="minorHAnsi"/>
          <w:color w:val="000000" w:themeColor="text1"/>
          <w:sz w:val="20"/>
          <w:szCs w:val="20"/>
        </w:rPr>
        <w:t xml:space="preserve"> David Brown, Mandatory Sentencing: A Criminological Perspective</w:t>
      </w:r>
      <w:r w:rsidRPr="00066F5B">
        <w:rPr>
          <w:rFonts w:asciiTheme="minorHAnsi" w:hAnsiTheme="minorHAnsi"/>
          <w:i/>
          <w:iCs/>
          <w:color w:val="000000" w:themeColor="text1"/>
          <w:sz w:val="20"/>
          <w:szCs w:val="20"/>
        </w:rPr>
        <w:t xml:space="preserve"> </w:t>
      </w:r>
      <w:r w:rsidRPr="00066F5B">
        <w:rPr>
          <w:rFonts w:asciiTheme="minorHAnsi" w:hAnsiTheme="minorHAnsi"/>
          <w:color w:val="000000" w:themeColor="text1"/>
          <w:sz w:val="20"/>
          <w:szCs w:val="20"/>
        </w:rPr>
        <w:t xml:space="preserve">(2001) 7(2) </w:t>
      </w:r>
      <w:r w:rsidRPr="00066F5B">
        <w:rPr>
          <w:rFonts w:asciiTheme="minorHAnsi" w:hAnsiTheme="minorHAnsi"/>
          <w:i/>
          <w:iCs/>
          <w:color w:val="000000" w:themeColor="text1"/>
          <w:sz w:val="20"/>
          <w:szCs w:val="20"/>
        </w:rPr>
        <w:t>Australian Journal of Human Rights</w:t>
      </w:r>
      <w:r w:rsidRPr="00066F5B">
        <w:rPr>
          <w:rFonts w:asciiTheme="minorHAnsi" w:hAnsiTheme="minorHAnsi"/>
          <w:color w:val="000000" w:themeColor="text1"/>
          <w:sz w:val="20"/>
          <w:szCs w:val="20"/>
        </w:rPr>
        <w:t xml:space="preserve"> at 11.</w:t>
      </w:r>
      <w:r w:rsidRPr="00066F5B">
        <w:rPr>
          <w:rFonts w:asciiTheme="minorHAnsi" w:hAnsiTheme="minorHAnsi"/>
          <w:color w:val="000000" w:themeColor="text1"/>
          <w:sz w:val="20"/>
          <w:szCs w:val="20"/>
          <w:lang w:val="en-US"/>
        </w:rPr>
        <w:t xml:space="preserve"> </w:t>
      </w:r>
    </w:p>
  </w:footnote>
  <w:footnote w:id="11">
    <w:p w14:paraId="328688F0" w14:textId="41659D51" w:rsidR="003865A4" w:rsidRPr="00066F5B" w:rsidRDefault="003865A4">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w:t>
      </w:r>
      <w:r w:rsidRPr="00066F5B">
        <w:rPr>
          <w:rFonts w:asciiTheme="minorHAnsi" w:hAnsiTheme="minorHAnsi"/>
          <w:color w:val="000000" w:themeColor="text1"/>
          <w:sz w:val="20"/>
          <w:szCs w:val="20"/>
        </w:rPr>
        <w:t xml:space="preserve">[2016] TASSC 64. </w:t>
      </w:r>
    </w:p>
  </w:footnote>
  <w:footnote w:id="12">
    <w:p w14:paraId="737F2405" w14:textId="21656AB1" w:rsidR="00582E4C" w:rsidRPr="00066F5B" w:rsidRDefault="00582E4C">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w:t>
      </w:r>
      <w:r w:rsidRPr="00066F5B">
        <w:rPr>
          <w:rFonts w:asciiTheme="minorHAnsi" w:hAnsiTheme="minorHAnsi"/>
          <w:color w:val="000000" w:themeColor="text1"/>
          <w:sz w:val="20"/>
          <w:szCs w:val="20"/>
        </w:rPr>
        <w:t xml:space="preserve">Grievous bodily harm is defined in section 1 of the </w:t>
      </w:r>
      <w:r w:rsidRPr="00066F5B">
        <w:rPr>
          <w:rFonts w:asciiTheme="minorHAnsi" w:hAnsiTheme="minorHAnsi"/>
          <w:i/>
          <w:iCs/>
          <w:color w:val="000000" w:themeColor="text1"/>
          <w:sz w:val="20"/>
          <w:szCs w:val="20"/>
        </w:rPr>
        <w:t>Criminal Code 1924</w:t>
      </w:r>
      <w:r w:rsidRPr="00066F5B">
        <w:rPr>
          <w:rFonts w:asciiTheme="minorHAnsi" w:hAnsiTheme="minorHAnsi"/>
          <w:color w:val="000000" w:themeColor="text1"/>
          <w:sz w:val="20"/>
          <w:szCs w:val="20"/>
        </w:rPr>
        <w:t xml:space="preserve"> as “</w:t>
      </w:r>
      <w:r w:rsidRPr="00066F5B">
        <w:rPr>
          <w:rFonts w:asciiTheme="minorHAnsi" w:hAnsiTheme="minorHAnsi"/>
          <w:color w:val="000000" w:themeColor="text1"/>
          <w:sz w:val="20"/>
          <w:szCs w:val="20"/>
          <w:shd w:val="clear" w:color="auto" w:fill="FFFFFF"/>
        </w:rPr>
        <w:t xml:space="preserve">any bodily injury of such a nature as to endanger or be likely to endanger life, or to cause or be likely to cause serious injury to health”. Whilst not statutorily defined, the definition of ‘bodily harm’ most often relied on in the Supreme Court of Tasmania is "Any hurt or injury calculated to interfere with health or comfort. Such hurt or injury need not be permanent but must, no doubt, be more than mere transient or trifling”: </w:t>
      </w:r>
      <w:r w:rsidRPr="00066F5B">
        <w:rPr>
          <w:rFonts w:asciiTheme="minorHAnsi" w:hAnsiTheme="minorHAnsi"/>
          <w:i/>
          <w:iCs/>
          <w:color w:val="000000" w:themeColor="text1"/>
          <w:sz w:val="20"/>
          <w:szCs w:val="20"/>
          <w:shd w:val="clear" w:color="auto" w:fill="FFFFFF"/>
        </w:rPr>
        <w:t>R v Donovan </w:t>
      </w:r>
      <w:r w:rsidRPr="00066F5B">
        <w:rPr>
          <w:rFonts w:asciiTheme="minorHAnsi" w:hAnsiTheme="minorHAnsi"/>
          <w:color w:val="000000" w:themeColor="text1"/>
          <w:sz w:val="20"/>
          <w:szCs w:val="20"/>
          <w:shd w:val="clear" w:color="auto" w:fill="FFFFFF"/>
        </w:rPr>
        <w:t>[1934] All ER 207</w:t>
      </w:r>
      <w:r w:rsidRPr="00066F5B">
        <w:rPr>
          <w:rFonts w:asciiTheme="minorHAnsi" w:hAnsiTheme="minorHAnsi"/>
          <w:color w:val="000000" w:themeColor="text1"/>
          <w:sz w:val="20"/>
          <w:szCs w:val="20"/>
        </w:rPr>
        <w:t>.</w:t>
      </w:r>
      <w:r w:rsidRPr="00066F5B">
        <w:rPr>
          <w:rFonts w:asciiTheme="minorHAnsi" w:hAnsiTheme="minorHAnsi"/>
          <w:color w:val="000000" w:themeColor="text1"/>
          <w:sz w:val="20"/>
          <w:szCs w:val="20"/>
          <w:shd w:val="clear" w:color="auto" w:fill="FFFFFF"/>
        </w:rPr>
        <w:t xml:space="preserve"> </w:t>
      </w:r>
    </w:p>
  </w:footnote>
  <w:footnote w:id="13">
    <w:p w14:paraId="7CCEA35F" w14:textId="7F85B2BA" w:rsidR="00F4545D" w:rsidRPr="00066F5B" w:rsidRDefault="00F4545D">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w:t>
      </w:r>
      <w:r w:rsidRPr="00066F5B">
        <w:rPr>
          <w:rFonts w:asciiTheme="minorHAnsi" w:hAnsiTheme="minorHAnsi"/>
          <w:color w:val="000000" w:themeColor="text1"/>
          <w:sz w:val="20"/>
          <w:szCs w:val="20"/>
        </w:rPr>
        <w:t xml:space="preserve">[2016] TASSC 64 </w:t>
      </w:r>
      <w:r w:rsidR="00332938" w:rsidRPr="00066F5B">
        <w:rPr>
          <w:rFonts w:asciiTheme="minorHAnsi" w:hAnsiTheme="minorHAnsi"/>
          <w:color w:val="000000" w:themeColor="text1"/>
          <w:sz w:val="20"/>
          <w:szCs w:val="20"/>
        </w:rPr>
        <w:t xml:space="preserve">at </w:t>
      </w:r>
      <w:r w:rsidRPr="00066F5B">
        <w:rPr>
          <w:rFonts w:asciiTheme="minorHAnsi" w:hAnsiTheme="minorHAnsi"/>
          <w:color w:val="000000" w:themeColor="text1"/>
          <w:sz w:val="20"/>
          <w:szCs w:val="20"/>
        </w:rPr>
        <w:t xml:space="preserve">[35]. </w:t>
      </w:r>
    </w:p>
  </w:footnote>
  <w:footnote w:id="14">
    <w:p w14:paraId="20FADBD2" w14:textId="0B41A6D0" w:rsidR="00582E4C" w:rsidRPr="00066F5B" w:rsidRDefault="00582E4C" w:rsidP="00582E4C">
      <w:pPr>
        <w:ind w:right="-205"/>
        <w:jc w:val="both"/>
        <w:outlineLvl w:val="0"/>
        <w:rPr>
          <w:color w:val="000000" w:themeColor="text1"/>
          <w:sz w:val="20"/>
          <w:szCs w:val="20"/>
        </w:rPr>
      </w:pPr>
      <w:r w:rsidRPr="00066F5B">
        <w:rPr>
          <w:rStyle w:val="FootnoteReference"/>
          <w:sz w:val="20"/>
          <w:szCs w:val="20"/>
        </w:rPr>
        <w:footnoteRef/>
      </w:r>
      <w:r w:rsidRPr="00066F5B">
        <w:rPr>
          <w:sz w:val="20"/>
          <w:szCs w:val="20"/>
        </w:rPr>
        <w:t xml:space="preserve"> </w:t>
      </w:r>
      <w:r w:rsidRPr="00066F5B">
        <w:rPr>
          <w:rFonts w:eastAsia="Times New Roman" w:cs="Times New Roman"/>
          <w:i/>
          <w:iCs/>
          <w:color w:val="000000" w:themeColor="text1"/>
          <w:sz w:val="20"/>
          <w:szCs w:val="20"/>
          <w:lang w:eastAsia="en-GB"/>
        </w:rPr>
        <w:t>State of Tasmania v Ross Gladwin</w:t>
      </w:r>
      <w:r w:rsidRPr="00066F5B">
        <w:rPr>
          <w:rFonts w:eastAsia="Times New Roman" w:cs="Times New Roman"/>
          <w:color w:val="000000" w:themeColor="text1"/>
          <w:sz w:val="20"/>
          <w:szCs w:val="20"/>
          <w:lang w:eastAsia="en-GB"/>
        </w:rPr>
        <w:t xml:space="preserve">, </w:t>
      </w:r>
      <w:r w:rsidR="009F090F" w:rsidRPr="00066F5B">
        <w:rPr>
          <w:rFonts w:eastAsia="Times New Roman" w:cs="Times New Roman"/>
          <w:color w:val="000000" w:themeColor="text1"/>
          <w:sz w:val="20"/>
          <w:szCs w:val="20"/>
          <w:lang w:eastAsia="en-GB"/>
        </w:rPr>
        <w:t>c</w:t>
      </w:r>
      <w:r w:rsidRPr="00066F5B">
        <w:rPr>
          <w:rFonts w:eastAsia="Times New Roman" w:cs="Times New Roman"/>
          <w:color w:val="000000" w:themeColor="text1"/>
          <w:sz w:val="20"/>
          <w:szCs w:val="20"/>
          <w:lang w:eastAsia="en-GB"/>
        </w:rPr>
        <w:t xml:space="preserve">omments on passing sentence, 9 December 2016. </w:t>
      </w:r>
    </w:p>
  </w:footnote>
  <w:footnote w:id="15">
    <w:p w14:paraId="06F64374" w14:textId="1E7F4FE3" w:rsidR="00000B1D" w:rsidRPr="00066F5B" w:rsidRDefault="00000B1D" w:rsidP="00000B1D">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w:t>
      </w:r>
      <w:r w:rsidRPr="00066F5B">
        <w:rPr>
          <w:rFonts w:asciiTheme="minorHAnsi" w:hAnsiTheme="minorHAnsi"/>
          <w:spacing w:val="-4"/>
          <w:sz w:val="20"/>
          <w:szCs w:val="20"/>
        </w:rPr>
        <w:t>A</w:t>
      </w:r>
      <w:r w:rsidR="00A71A60" w:rsidRPr="00066F5B">
        <w:rPr>
          <w:rFonts w:asciiTheme="minorHAnsi" w:hAnsiTheme="minorHAnsi"/>
          <w:spacing w:val="-4"/>
          <w:sz w:val="20"/>
          <w:szCs w:val="20"/>
        </w:rPr>
        <w:t xml:space="preserve">ustralian </w:t>
      </w:r>
      <w:r w:rsidRPr="00066F5B">
        <w:rPr>
          <w:rFonts w:asciiTheme="minorHAnsi" w:hAnsiTheme="minorHAnsi"/>
          <w:spacing w:val="-4"/>
          <w:sz w:val="20"/>
          <w:szCs w:val="20"/>
        </w:rPr>
        <w:t>B</w:t>
      </w:r>
      <w:r w:rsidR="00A71A60" w:rsidRPr="00066F5B">
        <w:rPr>
          <w:rFonts w:asciiTheme="minorHAnsi" w:hAnsiTheme="minorHAnsi"/>
          <w:spacing w:val="-4"/>
          <w:sz w:val="20"/>
          <w:szCs w:val="20"/>
        </w:rPr>
        <w:t xml:space="preserve">ureau of </w:t>
      </w:r>
      <w:r w:rsidRPr="00066F5B">
        <w:rPr>
          <w:rFonts w:asciiTheme="minorHAnsi" w:hAnsiTheme="minorHAnsi"/>
          <w:spacing w:val="-4"/>
          <w:sz w:val="20"/>
          <w:szCs w:val="20"/>
        </w:rPr>
        <w:t>S</w:t>
      </w:r>
      <w:r w:rsidR="00A71A60" w:rsidRPr="00066F5B">
        <w:rPr>
          <w:rFonts w:asciiTheme="minorHAnsi" w:hAnsiTheme="minorHAnsi"/>
          <w:spacing w:val="-4"/>
          <w:sz w:val="20"/>
          <w:szCs w:val="20"/>
        </w:rPr>
        <w:t xml:space="preserve">tatistics, </w:t>
      </w:r>
      <w:r w:rsidRPr="00066F5B">
        <w:rPr>
          <w:rFonts w:asciiTheme="minorHAnsi" w:hAnsiTheme="minorHAnsi"/>
          <w:i/>
          <w:iCs/>
          <w:spacing w:val="-4"/>
          <w:sz w:val="20"/>
          <w:szCs w:val="20"/>
        </w:rPr>
        <w:t>Prisoners in Australia</w:t>
      </w:r>
      <w:r w:rsidR="00A71A60" w:rsidRPr="00066F5B">
        <w:rPr>
          <w:rFonts w:asciiTheme="minorHAnsi" w:hAnsiTheme="minorHAnsi"/>
          <w:i/>
          <w:iCs/>
          <w:spacing w:val="-4"/>
          <w:sz w:val="20"/>
          <w:szCs w:val="20"/>
        </w:rPr>
        <w:t xml:space="preserve"> 2022</w:t>
      </w:r>
      <w:r w:rsidRPr="00066F5B">
        <w:rPr>
          <w:rFonts w:asciiTheme="minorHAnsi" w:hAnsiTheme="minorHAnsi"/>
          <w:spacing w:val="-4"/>
          <w:sz w:val="20"/>
          <w:szCs w:val="20"/>
        </w:rPr>
        <w:t xml:space="preserve">, Table 15. Also see </w:t>
      </w:r>
      <w:r w:rsidRPr="00066F5B">
        <w:rPr>
          <w:rFonts w:asciiTheme="minorHAnsi" w:hAnsiTheme="minorHAnsi"/>
          <w:i/>
          <w:iCs/>
          <w:spacing w:val="-4"/>
          <w:sz w:val="20"/>
          <w:szCs w:val="20"/>
        </w:rPr>
        <w:t xml:space="preserve">Tasmania 2021 Census All persons </w:t>
      </w:r>
      <w:proofErr w:type="spellStart"/>
      <w:r w:rsidRPr="00066F5B">
        <w:rPr>
          <w:rFonts w:asciiTheme="minorHAnsi" w:hAnsiTheme="minorHAnsi"/>
          <w:i/>
          <w:iCs/>
          <w:spacing w:val="-4"/>
          <w:sz w:val="20"/>
          <w:szCs w:val="20"/>
        </w:rPr>
        <w:t>QuickStats</w:t>
      </w:r>
      <w:proofErr w:type="spellEnd"/>
      <w:r w:rsidRPr="00066F5B">
        <w:rPr>
          <w:rFonts w:asciiTheme="minorHAnsi" w:hAnsiTheme="minorHAnsi"/>
          <w:spacing w:val="-4"/>
          <w:sz w:val="20"/>
          <w:szCs w:val="20"/>
        </w:rPr>
        <w:t>.</w:t>
      </w:r>
    </w:p>
  </w:footnote>
  <w:footnote w:id="16">
    <w:p w14:paraId="30868079" w14:textId="77777777" w:rsidR="00000B1D" w:rsidRPr="00066F5B" w:rsidRDefault="00000B1D" w:rsidP="00000B1D">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Australian Bureau of Statistics, </w:t>
      </w:r>
      <w:r w:rsidRPr="00066F5B">
        <w:rPr>
          <w:rFonts w:asciiTheme="minorHAnsi" w:hAnsiTheme="minorHAnsi"/>
          <w:i/>
          <w:iCs/>
          <w:sz w:val="20"/>
          <w:szCs w:val="20"/>
        </w:rPr>
        <w:t>Prisoners in Australia, 2022</w:t>
      </w:r>
      <w:r w:rsidRPr="00066F5B">
        <w:rPr>
          <w:rFonts w:asciiTheme="minorHAnsi" w:hAnsiTheme="minorHAnsi"/>
          <w:sz w:val="20"/>
          <w:szCs w:val="20"/>
        </w:rPr>
        <w:t>, Table 14.</w:t>
      </w:r>
    </w:p>
  </w:footnote>
  <w:footnote w:id="17">
    <w:p w14:paraId="72E62DC0" w14:textId="529AC65E" w:rsidR="00EF761B" w:rsidRPr="00066F5B" w:rsidRDefault="00EF761B" w:rsidP="00EF761B">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w:t>
      </w:r>
      <w:r w:rsidRPr="00066F5B">
        <w:rPr>
          <w:rFonts w:asciiTheme="minorHAnsi" w:hAnsiTheme="minorHAnsi"/>
          <w:color w:val="000000" w:themeColor="text1"/>
          <w:sz w:val="20"/>
          <w:szCs w:val="20"/>
        </w:rPr>
        <w:t xml:space="preserve">Australian Law Reform Commission, </w:t>
      </w:r>
      <w:r w:rsidRPr="00066F5B">
        <w:rPr>
          <w:rFonts w:asciiTheme="minorHAnsi" w:hAnsiTheme="minorHAnsi"/>
          <w:i/>
          <w:iCs/>
          <w:color w:val="000000" w:themeColor="text1"/>
          <w:sz w:val="20"/>
          <w:szCs w:val="20"/>
        </w:rPr>
        <w:t>Inquiry Into The Incarceration Rate Of Aboriginal And Torres Strait Islander Peoples</w:t>
      </w:r>
      <w:r w:rsidRPr="00066F5B">
        <w:rPr>
          <w:rFonts w:asciiTheme="minorHAnsi" w:hAnsiTheme="minorHAnsi"/>
          <w:color w:val="000000" w:themeColor="text1"/>
          <w:sz w:val="20"/>
          <w:szCs w:val="20"/>
        </w:rPr>
        <w:t xml:space="preserve"> (December 2017: Final Report 133) at 3.2.</w:t>
      </w:r>
    </w:p>
  </w:footnote>
  <w:footnote w:id="18">
    <w:p w14:paraId="1EC7004A" w14:textId="3CCE0E6C" w:rsidR="002F6CDE" w:rsidRPr="00066F5B" w:rsidRDefault="002F6CDE" w:rsidP="00CD369F">
      <w:pPr>
        <w:ind w:right="-205"/>
        <w:rPr>
          <w:b/>
          <w:bCs/>
          <w:sz w:val="20"/>
          <w:szCs w:val="20"/>
        </w:rPr>
      </w:pPr>
      <w:r w:rsidRPr="00066F5B">
        <w:rPr>
          <w:rStyle w:val="FootnoteReference"/>
          <w:sz w:val="20"/>
          <w:szCs w:val="20"/>
        </w:rPr>
        <w:footnoteRef/>
      </w:r>
      <w:r w:rsidR="00A71A60" w:rsidRPr="00066F5B">
        <w:rPr>
          <w:sz w:val="20"/>
          <w:szCs w:val="20"/>
        </w:rPr>
        <w:t xml:space="preserve"> See, for example, Donald Ritchie, </w:t>
      </w:r>
      <w:r w:rsidR="00A71A60" w:rsidRPr="00066F5B">
        <w:rPr>
          <w:i/>
          <w:iCs/>
          <w:sz w:val="20"/>
          <w:szCs w:val="20"/>
        </w:rPr>
        <w:t>Sentencing matters: Does Imprisonment deter? A Review of the Evidence</w:t>
      </w:r>
      <w:r w:rsidR="00A71A60" w:rsidRPr="00066F5B">
        <w:rPr>
          <w:sz w:val="20"/>
          <w:szCs w:val="20"/>
        </w:rPr>
        <w:t xml:space="preserve"> (Sentencing Advisory Council Victoria: April 2011). </w:t>
      </w:r>
    </w:p>
  </w:footnote>
  <w:footnote w:id="19">
    <w:p w14:paraId="3149D296" w14:textId="77777777" w:rsidR="007E520D" w:rsidRPr="00066F5B" w:rsidRDefault="007E520D" w:rsidP="007E520D">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[2010] TASCCA 5. </w:t>
      </w:r>
    </w:p>
  </w:footnote>
  <w:footnote w:id="20">
    <w:p w14:paraId="497B3FF6" w14:textId="448C2024" w:rsidR="007E520D" w:rsidRPr="00066F5B" w:rsidRDefault="007E520D" w:rsidP="007E520D">
      <w:pPr>
        <w:pStyle w:val="FootnoteText"/>
        <w:rPr>
          <w:rFonts w:asciiTheme="minorHAnsi" w:hAnsiTheme="minorHAnsi"/>
          <w:sz w:val="20"/>
          <w:szCs w:val="20"/>
          <w:lang w:val="en-US"/>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[2010] TASCCA 5</w:t>
      </w:r>
      <w:r w:rsidR="00B55A5E" w:rsidRPr="00066F5B">
        <w:rPr>
          <w:rFonts w:asciiTheme="minorHAnsi" w:hAnsiTheme="minorHAnsi"/>
          <w:sz w:val="20"/>
          <w:szCs w:val="20"/>
        </w:rPr>
        <w:t xml:space="preserve"> at para. [36]. </w:t>
      </w:r>
      <w:r w:rsidRPr="00066F5B">
        <w:rPr>
          <w:rFonts w:asciiTheme="minorHAnsi" w:hAnsiTheme="minorHAnsi"/>
          <w:sz w:val="20"/>
          <w:szCs w:val="20"/>
        </w:rPr>
        <w:t xml:space="preserve">Also see </w:t>
      </w:r>
      <w:r w:rsidRPr="00066F5B">
        <w:rPr>
          <w:rFonts w:asciiTheme="minorHAnsi" w:hAnsiTheme="minorHAnsi"/>
          <w:i/>
          <w:iCs/>
          <w:sz w:val="20"/>
          <w:szCs w:val="20"/>
          <w:lang w:val="en-US"/>
        </w:rPr>
        <w:t xml:space="preserve">Director of Public Prosecutions (Acting) v CBF </w:t>
      </w:r>
      <w:r w:rsidRPr="00066F5B">
        <w:rPr>
          <w:rFonts w:asciiTheme="minorHAnsi" w:hAnsiTheme="minorHAnsi"/>
          <w:sz w:val="20"/>
          <w:szCs w:val="20"/>
          <w:lang w:val="en-US"/>
        </w:rPr>
        <w:t>[2016] TASCCA 1.</w:t>
      </w:r>
    </w:p>
  </w:footnote>
  <w:footnote w:id="21">
    <w:p w14:paraId="6C6F89F9" w14:textId="77777777" w:rsidR="00BE7212" w:rsidRPr="00066F5B" w:rsidRDefault="00BE7212" w:rsidP="00BE7212">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Section 27(4B)-(4C) of the </w:t>
      </w:r>
      <w:r w:rsidRPr="00066F5B">
        <w:rPr>
          <w:rFonts w:asciiTheme="minorHAnsi" w:hAnsiTheme="minorHAnsi"/>
          <w:i/>
          <w:iCs/>
          <w:sz w:val="20"/>
          <w:szCs w:val="20"/>
        </w:rPr>
        <w:t>Sentencing Act 1997</w:t>
      </w:r>
      <w:r w:rsidRPr="00066F5B">
        <w:rPr>
          <w:rFonts w:asciiTheme="minorHAnsi" w:hAnsiTheme="minorHAnsi"/>
          <w:sz w:val="20"/>
          <w:szCs w:val="20"/>
        </w:rPr>
        <w:t xml:space="preserve"> (Tas). </w:t>
      </w:r>
    </w:p>
  </w:footnote>
  <w:footnote w:id="22">
    <w:p w14:paraId="0E0CF3CC" w14:textId="77777777" w:rsidR="00BE7212" w:rsidRPr="00066F5B" w:rsidRDefault="00BE7212" w:rsidP="00BE7212">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w:t>
      </w:r>
      <w:r w:rsidRPr="00066F5B">
        <w:rPr>
          <w:rFonts w:asciiTheme="minorHAnsi" w:hAnsiTheme="minorHAnsi"/>
          <w:color w:val="000000" w:themeColor="text1"/>
          <w:sz w:val="20"/>
          <w:szCs w:val="20"/>
          <w:lang w:eastAsia="en-GB"/>
        </w:rPr>
        <w:t xml:space="preserve">[2011] TASSC 59. </w:t>
      </w:r>
    </w:p>
  </w:footnote>
  <w:footnote w:id="23">
    <w:p w14:paraId="21F18099" w14:textId="58FCA26B" w:rsidR="00BE7212" w:rsidRPr="00066F5B" w:rsidRDefault="00BE7212" w:rsidP="00BE7212">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w:t>
      </w:r>
      <w:r w:rsidRPr="00066F5B">
        <w:rPr>
          <w:rFonts w:asciiTheme="minorHAnsi" w:hAnsiTheme="minorHAnsi"/>
          <w:color w:val="000000" w:themeColor="text1"/>
          <w:sz w:val="20"/>
          <w:szCs w:val="20"/>
          <w:lang w:eastAsia="en-GB"/>
        </w:rPr>
        <w:t>[2011] TASSC 59 at para. [94]-[96].</w:t>
      </w:r>
      <w:r w:rsidR="00053D91" w:rsidRPr="00066F5B">
        <w:rPr>
          <w:rFonts w:asciiTheme="minorHAnsi" w:hAnsiTheme="minorHAnsi"/>
          <w:color w:val="000000" w:themeColor="text1"/>
          <w:sz w:val="20"/>
          <w:szCs w:val="20"/>
          <w:lang w:eastAsia="en-GB"/>
        </w:rPr>
        <w:t xml:space="preserve"> Also see </w:t>
      </w:r>
      <w:r w:rsidR="00053D91" w:rsidRPr="00066F5B">
        <w:rPr>
          <w:rFonts w:asciiTheme="minorHAnsi" w:hAnsiTheme="minorHAnsi"/>
          <w:i/>
          <w:iCs/>
          <w:color w:val="000000" w:themeColor="text1"/>
          <w:sz w:val="20"/>
          <w:szCs w:val="20"/>
          <w:lang w:eastAsia="en-GB"/>
        </w:rPr>
        <w:t>Jones v Clarke</w:t>
      </w:r>
      <w:r w:rsidR="00053D91" w:rsidRPr="00066F5B">
        <w:rPr>
          <w:rFonts w:asciiTheme="minorHAnsi" w:hAnsiTheme="minorHAnsi"/>
          <w:color w:val="000000" w:themeColor="text1"/>
          <w:sz w:val="20"/>
          <w:szCs w:val="20"/>
          <w:lang w:eastAsia="en-GB"/>
        </w:rPr>
        <w:t xml:space="preserve"> [2012] TASSC 12; </w:t>
      </w:r>
      <w:r w:rsidR="00053D91" w:rsidRPr="00066F5B">
        <w:rPr>
          <w:rFonts w:asciiTheme="minorHAnsi" w:hAnsiTheme="minorHAnsi"/>
          <w:i/>
          <w:iCs/>
          <w:color w:val="000000" w:themeColor="text1"/>
          <w:sz w:val="20"/>
          <w:szCs w:val="20"/>
          <w:lang w:eastAsia="en-GB"/>
        </w:rPr>
        <w:t>Butcher v Lyons</w:t>
      </w:r>
      <w:r w:rsidR="00053D91" w:rsidRPr="00066F5B">
        <w:rPr>
          <w:rFonts w:asciiTheme="minorHAnsi" w:hAnsiTheme="minorHAnsi"/>
          <w:color w:val="000000" w:themeColor="text1"/>
          <w:sz w:val="20"/>
          <w:szCs w:val="20"/>
          <w:lang w:eastAsia="en-GB"/>
        </w:rPr>
        <w:t xml:space="preserve"> [2018] TASSC 39; </w:t>
      </w:r>
      <w:r w:rsidR="00053D91" w:rsidRPr="00066F5B">
        <w:rPr>
          <w:rFonts w:asciiTheme="minorHAnsi" w:hAnsiTheme="minorHAnsi"/>
          <w:i/>
          <w:iCs/>
          <w:color w:val="000000" w:themeColor="text1"/>
          <w:sz w:val="20"/>
          <w:szCs w:val="20"/>
          <w:lang w:eastAsia="en-GB"/>
        </w:rPr>
        <w:t xml:space="preserve">Parker v </w:t>
      </w:r>
      <w:proofErr w:type="spellStart"/>
      <w:r w:rsidR="00053D91" w:rsidRPr="00066F5B">
        <w:rPr>
          <w:rFonts w:asciiTheme="minorHAnsi" w:hAnsiTheme="minorHAnsi"/>
          <w:i/>
          <w:iCs/>
          <w:color w:val="000000" w:themeColor="text1"/>
          <w:sz w:val="20"/>
          <w:szCs w:val="20"/>
          <w:lang w:eastAsia="en-GB"/>
        </w:rPr>
        <w:t>Stebbings</w:t>
      </w:r>
      <w:proofErr w:type="spellEnd"/>
      <w:r w:rsidR="00053D91" w:rsidRPr="00066F5B">
        <w:rPr>
          <w:rFonts w:asciiTheme="minorHAnsi" w:hAnsiTheme="minorHAnsi"/>
          <w:color w:val="000000" w:themeColor="text1"/>
          <w:sz w:val="20"/>
          <w:szCs w:val="20"/>
          <w:lang w:eastAsia="en-GB"/>
        </w:rPr>
        <w:t xml:space="preserve"> (2017) 29 Tas R 252; </w:t>
      </w:r>
      <w:r w:rsidR="00053D91" w:rsidRPr="00066F5B">
        <w:rPr>
          <w:rFonts w:asciiTheme="minorHAnsi" w:hAnsiTheme="minorHAnsi"/>
          <w:i/>
          <w:iCs/>
          <w:color w:val="000000" w:themeColor="text1"/>
          <w:sz w:val="20"/>
          <w:szCs w:val="20"/>
          <w:lang w:eastAsia="en-GB"/>
        </w:rPr>
        <w:t>Biddle v Hayward</w:t>
      </w:r>
      <w:r w:rsidR="00053D91" w:rsidRPr="00066F5B">
        <w:rPr>
          <w:rFonts w:asciiTheme="minorHAnsi" w:hAnsiTheme="minorHAnsi"/>
          <w:color w:val="000000" w:themeColor="text1"/>
          <w:sz w:val="20"/>
          <w:szCs w:val="20"/>
          <w:lang w:eastAsia="en-GB"/>
        </w:rPr>
        <w:t xml:space="preserve"> [2014] TASSC 65. </w:t>
      </w:r>
    </w:p>
  </w:footnote>
  <w:footnote w:id="24">
    <w:p w14:paraId="071D3B83" w14:textId="196DD7F3" w:rsidR="00EF761B" w:rsidRPr="00066F5B" w:rsidRDefault="00EF761B">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Data provided by the Australian Bureau of Statistics notes that 24,430 Tasmanians work in retail (9.6 per cent of employed Tasmanians) and 19,461 Tasmanians work in hospitality (7.6 per cent): Australian Bureau of Statistics, </w:t>
      </w:r>
      <w:r w:rsidRPr="00066F5B">
        <w:rPr>
          <w:rFonts w:asciiTheme="minorHAnsi" w:hAnsiTheme="minorHAnsi"/>
          <w:i/>
          <w:iCs/>
          <w:sz w:val="20"/>
          <w:szCs w:val="20"/>
        </w:rPr>
        <w:t>Census of Population and Housing</w:t>
      </w:r>
      <w:r w:rsidRPr="00066F5B">
        <w:rPr>
          <w:rFonts w:asciiTheme="minorHAnsi" w:hAnsiTheme="minorHAnsi"/>
          <w:sz w:val="20"/>
          <w:szCs w:val="20"/>
        </w:rPr>
        <w:t xml:space="preserve"> (2021).</w:t>
      </w:r>
    </w:p>
  </w:footnote>
  <w:footnote w:id="25">
    <w:p w14:paraId="31C9E6CF" w14:textId="470AEE3E" w:rsidR="00446F55" w:rsidRPr="00066F5B" w:rsidRDefault="00446F55">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Sentencing Advisory Council, </w:t>
      </w:r>
      <w:r w:rsidRPr="00066F5B">
        <w:rPr>
          <w:rFonts w:asciiTheme="minorHAnsi" w:hAnsiTheme="minorHAnsi"/>
          <w:i/>
          <w:sz w:val="20"/>
          <w:szCs w:val="20"/>
        </w:rPr>
        <w:t>Assaults on Emergency Service Workers</w:t>
      </w:r>
      <w:r w:rsidRPr="00066F5B">
        <w:rPr>
          <w:rFonts w:asciiTheme="minorHAnsi" w:hAnsiTheme="minorHAnsi"/>
          <w:sz w:val="20"/>
          <w:szCs w:val="20"/>
        </w:rPr>
        <w:t xml:space="preserve"> (Final Report: No. 2).</w:t>
      </w:r>
    </w:p>
  </w:footnote>
  <w:footnote w:id="26">
    <w:p w14:paraId="491BF83C" w14:textId="16605B0E" w:rsidR="00446F55" w:rsidRPr="006B7465" w:rsidRDefault="00446F55">
      <w:pPr>
        <w:pStyle w:val="FootnoteText"/>
        <w:rPr>
          <w:rFonts w:asciiTheme="minorHAnsi" w:hAnsiTheme="minorHAnsi"/>
          <w:sz w:val="20"/>
          <w:szCs w:val="20"/>
        </w:rPr>
      </w:pPr>
      <w:r w:rsidRPr="00066F5B">
        <w:rPr>
          <w:rStyle w:val="FootnoteReference"/>
          <w:rFonts w:asciiTheme="minorHAnsi" w:hAnsiTheme="minorHAnsi"/>
          <w:sz w:val="20"/>
          <w:szCs w:val="20"/>
        </w:rPr>
        <w:footnoteRef/>
      </w:r>
      <w:r w:rsidRPr="00066F5B">
        <w:rPr>
          <w:rFonts w:asciiTheme="minorHAnsi" w:hAnsiTheme="minorHAnsi"/>
          <w:sz w:val="20"/>
          <w:szCs w:val="20"/>
        </w:rPr>
        <w:t xml:space="preserve"> </w:t>
      </w:r>
      <w:r w:rsidR="00A71A60" w:rsidRPr="00066F5B">
        <w:rPr>
          <w:rFonts w:asciiTheme="minorHAnsi" w:hAnsiTheme="minorHAnsi"/>
          <w:sz w:val="20"/>
          <w:szCs w:val="20"/>
        </w:rPr>
        <w:t>Ibid</w:t>
      </w:r>
      <w:r w:rsidRPr="00066F5B">
        <w:rPr>
          <w:rFonts w:asciiTheme="minorHAnsi" w:hAnsiTheme="minorHAnsi"/>
          <w:sz w:val="20"/>
          <w:szCs w:val="20"/>
        </w:rPr>
        <w:t xml:space="preserve"> at 37.</w:t>
      </w:r>
      <w:r w:rsidRPr="006B7465">
        <w:rPr>
          <w:rFonts w:asciiTheme="minorHAnsi" w:hAnsiTheme="minorHAns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42C2E18"/>
    <w:lvl w:ilvl="0">
      <w:start w:val="1"/>
      <w:numFmt w:val="decimal"/>
      <w:pStyle w:val="ListNumber2"/>
      <w:lvlText w:val="%1."/>
      <w:lvlJc w:val="left"/>
      <w:pPr>
        <w:tabs>
          <w:tab w:val="num" w:pos="643"/>
        </w:tabs>
        <w:ind w:left="643" w:hanging="360"/>
      </w:pPr>
    </w:lvl>
  </w:abstractNum>
  <w:abstractNum w:abstractNumId="1" w15:restartNumberingAfterBreak="0">
    <w:nsid w:val="04F67713"/>
    <w:multiLevelType w:val="hybridMultilevel"/>
    <w:tmpl w:val="F4FCEA08"/>
    <w:lvl w:ilvl="0" w:tplc="B9464420">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5AFE"/>
    <w:multiLevelType w:val="multilevel"/>
    <w:tmpl w:val="23C6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50E7E"/>
    <w:multiLevelType w:val="multilevel"/>
    <w:tmpl w:val="1220BC04"/>
    <w:lvl w:ilvl="0">
      <w:start w:val="1"/>
      <w:numFmt w:val="decimal"/>
      <w:pStyle w:val="Numberedparagraph"/>
      <w:lvlText w:val="%1."/>
      <w:lvlJc w:val="left"/>
      <w:pPr>
        <w:ind w:left="567" w:hanging="567"/>
      </w:pPr>
      <w:rPr>
        <w:rFonts w:hint="default"/>
      </w:rPr>
    </w:lvl>
    <w:lvl w:ilvl="1">
      <w:start w:val="1"/>
      <w:numFmt w:val="lowerLetter"/>
      <w:lvlText w:val="%2."/>
      <w:lvlJc w:val="left"/>
      <w:pPr>
        <w:ind w:left="907" w:hanging="283"/>
      </w:pPr>
      <w:rPr>
        <w:rFonts w:hint="default"/>
        <w:b w:val="0"/>
        <w:i w:val="0"/>
        <w:sz w:val="24"/>
      </w:rPr>
    </w:lvl>
    <w:lvl w:ilvl="2">
      <w:start w:val="1"/>
      <w:numFmt w:val="lowerRoman"/>
      <w:lvlText w:val="%3."/>
      <w:lvlJc w:val="right"/>
      <w:pPr>
        <w:ind w:left="1247" w:hanging="113"/>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4" w15:restartNumberingAfterBreak="0">
    <w:nsid w:val="14FB0EF7"/>
    <w:multiLevelType w:val="hybridMultilevel"/>
    <w:tmpl w:val="A0B6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25B6A"/>
    <w:multiLevelType w:val="hybridMultilevel"/>
    <w:tmpl w:val="0052C00A"/>
    <w:lvl w:ilvl="0" w:tplc="223246F8">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9019C"/>
    <w:multiLevelType w:val="hybridMultilevel"/>
    <w:tmpl w:val="D738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842983">
    <w:abstractNumId w:val="4"/>
  </w:num>
  <w:num w:numId="2" w16cid:durableId="1947037793">
    <w:abstractNumId w:val="3"/>
  </w:num>
  <w:num w:numId="3" w16cid:durableId="1012340169">
    <w:abstractNumId w:val="2"/>
    <w:lvlOverride w:ilvl="0">
      <w:startOverride w:val="1"/>
    </w:lvlOverride>
  </w:num>
  <w:num w:numId="4" w16cid:durableId="180706546">
    <w:abstractNumId w:val="2"/>
    <w:lvlOverride w:ilvl="0">
      <w:startOverride w:val="2"/>
    </w:lvlOverride>
  </w:num>
  <w:num w:numId="5" w16cid:durableId="2083484444">
    <w:abstractNumId w:val="2"/>
    <w:lvlOverride w:ilvl="0">
      <w:startOverride w:val="3"/>
    </w:lvlOverride>
  </w:num>
  <w:num w:numId="6" w16cid:durableId="1776751188">
    <w:abstractNumId w:val="2"/>
    <w:lvlOverride w:ilvl="0">
      <w:startOverride w:val="4"/>
    </w:lvlOverride>
  </w:num>
  <w:num w:numId="7" w16cid:durableId="1541044501">
    <w:abstractNumId w:val="2"/>
    <w:lvlOverride w:ilvl="0">
      <w:startOverride w:val="5"/>
    </w:lvlOverride>
  </w:num>
  <w:num w:numId="8" w16cid:durableId="1637951297">
    <w:abstractNumId w:val="2"/>
    <w:lvlOverride w:ilvl="0">
      <w:startOverride w:val="6"/>
    </w:lvlOverride>
  </w:num>
  <w:num w:numId="9" w16cid:durableId="1445075939">
    <w:abstractNumId w:val="0"/>
  </w:num>
  <w:num w:numId="10" w16cid:durableId="440338635">
    <w:abstractNumId w:val="0"/>
    <w:lvlOverride w:ilvl="0">
      <w:startOverride w:val="1"/>
    </w:lvlOverride>
  </w:num>
  <w:num w:numId="11" w16cid:durableId="866523724">
    <w:abstractNumId w:val="6"/>
  </w:num>
  <w:num w:numId="12" w16cid:durableId="2093620414">
    <w:abstractNumId w:val="1"/>
  </w:num>
  <w:num w:numId="13" w16cid:durableId="2056926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F6"/>
    <w:rsid w:val="00000458"/>
    <w:rsid w:val="00000B1D"/>
    <w:rsid w:val="00001EE4"/>
    <w:rsid w:val="00012913"/>
    <w:rsid w:val="00013B0C"/>
    <w:rsid w:val="0002103F"/>
    <w:rsid w:val="00047677"/>
    <w:rsid w:val="00053D91"/>
    <w:rsid w:val="00062892"/>
    <w:rsid w:val="00063D86"/>
    <w:rsid w:val="000669E9"/>
    <w:rsid w:val="00066F5B"/>
    <w:rsid w:val="000851BE"/>
    <w:rsid w:val="00092729"/>
    <w:rsid w:val="00095152"/>
    <w:rsid w:val="000A163E"/>
    <w:rsid w:val="000A2D36"/>
    <w:rsid w:val="000A57A8"/>
    <w:rsid w:val="000C34BE"/>
    <w:rsid w:val="000C4C09"/>
    <w:rsid w:val="000C4D58"/>
    <w:rsid w:val="000C6300"/>
    <w:rsid w:val="000D15EB"/>
    <w:rsid w:val="000D1F5C"/>
    <w:rsid w:val="000D1F96"/>
    <w:rsid w:val="000D235E"/>
    <w:rsid w:val="000D3E5F"/>
    <w:rsid w:val="000E0AEA"/>
    <w:rsid w:val="000E56C0"/>
    <w:rsid w:val="000F6546"/>
    <w:rsid w:val="00106939"/>
    <w:rsid w:val="00107F3C"/>
    <w:rsid w:val="00134262"/>
    <w:rsid w:val="0013659F"/>
    <w:rsid w:val="00142288"/>
    <w:rsid w:val="00147F14"/>
    <w:rsid w:val="00151F00"/>
    <w:rsid w:val="00156AEE"/>
    <w:rsid w:val="001576D5"/>
    <w:rsid w:val="00161798"/>
    <w:rsid w:val="0016593C"/>
    <w:rsid w:val="00165E71"/>
    <w:rsid w:val="001804DF"/>
    <w:rsid w:val="001854D2"/>
    <w:rsid w:val="00193134"/>
    <w:rsid w:val="001937E2"/>
    <w:rsid w:val="00195842"/>
    <w:rsid w:val="00197E2A"/>
    <w:rsid w:val="001A1E32"/>
    <w:rsid w:val="001C0E11"/>
    <w:rsid w:val="001C12F7"/>
    <w:rsid w:val="001C2AD5"/>
    <w:rsid w:val="001C656A"/>
    <w:rsid w:val="001C6CA9"/>
    <w:rsid w:val="001D4D2C"/>
    <w:rsid w:val="001D5297"/>
    <w:rsid w:val="001E1828"/>
    <w:rsid w:val="001E7870"/>
    <w:rsid w:val="00200216"/>
    <w:rsid w:val="002070BD"/>
    <w:rsid w:val="002100A1"/>
    <w:rsid w:val="002178C4"/>
    <w:rsid w:val="002351AE"/>
    <w:rsid w:val="0024668E"/>
    <w:rsid w:val="00261D35"/>
    <w:rsid w:val="002841B7"/>
    <w:rsid w:val="00285EAF"/>
    <w:rsid w:val="00291990"/>
    <w:rsid w:val="00291C2D"/>
    <w:rsid w:val="0029344C"/>
    <w:rsid w:val="002A30D5"/>
    <w:rsid w:val="002A434A"/>
    <w:rsid w:val="002B7C5E"/>
    <w:rsid w:val="002C0CF8"/>
    <w:rsid w:val="002C115C"/>
    <w:rsid w:val="002D75A4"/>
    <w:rsid w:val="002F6CDE"/>
    <w:rsid w:val="002F6E72"/>
    <w:rsid w:val="002F7C80"/>
    <w:rsid w:val="003003F4"/>
    <w:rsid w:val="00302A08"/>
    <w:rsid w:val="00303D35"/>
    <w:rsid w:val="00304C2E"/>
    <w:rsid w:val="00305FD5"/>
    <w:rsid w:val="00315270"/>
    <w:rsid w:val="00321A48"/>
    <w:rsid w:val="00325AAE"/>
    <w:rsid w:val="00327C87"/>
    <w:rsid w:val="003302CA"/>
    <w:rsid w:val="00332938"/>
    <w:rsid w:val="0033785A"/>
    <w:rsid w:val="0035659A"/>
    <w:rsid w:val="00357DE4"/>
    <w:rsid w:val="00362A4A"/>
    <w:rsid w:val="00363825"/>
    <w:rsid w:val="0036543A"/>
    <w:rsid w:val="00365F1D"/>
    <w:rsid w:val="00366CB6"/>
    <w:rsid w:val="0038105C"/>
    <w:rsid w:val="003817AC"/>
    <w:rsid w:val="0038644E"/>
    <w:rsid w:val="003865A4"/>
    <w:rsid w:val="003951D3"/>
    <w:rsid w:val="00397346"/>
    <w:rsid w:val="003B1259"/>
    <w:rsid w:val="003C06C8"/>
    <w:rsid w:val="003E1103"/>
    <w:rsid w:val="003F436A"/>
    <w:rsid w:val="00403E48"/>
    <w:rsid w:val="0041023B"/>
    <w:rsid w:val="00412D73"/>
    <w:rsid w:val="00415BCF"/>
    <w:rsid w:val="00420307"/>
    <w:rsid w:val="0044515A"/>
    <w:rsid w:val="00446F55"/>
    <w:rsid w:val="00455682"/>
    <w:rsid w:val="00463F47"/>
    <w:rsid w:val="00472B75"/>
    <w:rsid w:val="00477004"/>
    <w:rsid w:val="00481E4D"/>
    <w:rsid w:val="0048563B"/>
    <w:rsid w:val="004975A3"/>
    <w:rsid w:val="004A1E4C"/>
    <w:rsid w:val="004A3C77"/>
    <w:rsid w:val="004B173E"/>
    <w:rsid w:val="004B46D3"/>
    <w:rsid w:val="004B5A82"/>
    <w:rsid w:val="004B7EAA"/>
    <w:rsid w:val="004C0469"/>
    <w:rsid w:val="004C06DF"/>
    <w:rsid w:val="004D3671"/>
    <w:rsid w:val="004D68D0"/>
    <w:rsid w:val="004E12DC"/>
    <w:rsid w:val="004E201A"/>
    <w:rsid w:val="004E2AFB"/>
    <w:rsid w:val="004E4DB4"/>
    <w:rsid w:val="004F195C"/>
    <w:rsid w:val="005009A0"/>
    <w:rsid w:val="00502D04"/>
    <w:rsid w:val="005106EE"/>
    <w:rsid w:val="00513B60"/>
    <w:rsid w:val="00513F75"/>
    <w:rsid w:val="00526235"/>
    <w:rsid w:val="0057059B"/>
    <w:rsid w:val="00582E4C"/>
    <w:rsid w:val="005908C5"/>
    <w:rsid w:val="00594053"/>
    <w:rsid w:val="00595594"/>
    <w:rsid w:val="00595C99"/>
    <w:rsid w:val="005D1E2A"/>
    <w:rsid w:val="005D51F7"/>
    <w:rsid w:val="005D64CC"/>
    <w:rsid w:val="005D7418"/>
    <w:rsid w:val="005E2E58"/>
    <w:rsid w:val="005F4306"/>
    <w:rsid w:val="005F4A6B"/>
    <w:rsid w:val="00610611"/>
    <w:rsid w:val="00612861"/>
    <w:rsid w:val="00615D58"/>
    <w:rsid w:val="006342C1"/>
    <w:rsid w:val="0063776F"/>
    <w:rsid w:val="00660B3B"/>
    <w:rsid w:val="00670C2F"/>
    <w:rsid w:val="006734A4"/>
    <w:rsid w:val="00676116"/>
    <w:rsid w:val="006A4DA4"/>
    <w:rsid w:val="006B3830"/>
    <w:rsid w:val="006B40C4"/>
    <w:rsid w:val="006B4ED9"/>
    <w:rsid w:val="006B7465"/>
    <w:rsid w:val="006C1643"/>
    <w:rsid w:val="006C7F25"/>
    <w:rsid w:val="006F57AD"/>
    <w:rsid w:val="006F6204"/>
    <w:rsid w:val="00710D9A"/>
    <w:rsid w:val="007211A0"/>
    <w:rsid w:val="00722232"/>
    <w:rsid w:val="00724337"/>
    <w:rsid w:val="007300C9"/>
    <w:rsid w:val="00741D99"/>
    <w:rsid w:val="0074749E"/>
    <w:rsid w:val="00761B42"/>
    <w:rsid w:val="007A3317"/>
    <w:rsid w:val="007A3750"/>
    <w:rsid w:val="007A419C"/>
    <w:rsid w:val="007A4DD2"/>
    <w:rsid w:val="007D6D3D"/>
    <w:rsid w:val="007E520D"/>
    <w:rsid w:val="007E569A"/>
    <w:rsid w:val="007E6E87"/>
    <w:rsid w:val="008053EB"/>
    <w:rsid w:val="008069EA"/>
    <w:rsid w:val="00810F82"/>
    <w:rsid w:val="00813318"/>
    <w:rsid w:val="0081634B"/>
    <w:rsid w:val="00823267"/>
    <w:rsid w:val="00851641"/>
    <w:rsid w:val="008576A8"/>
    <w:rsid w:val="0086362E"/>
    <w:rsid w:val="0088245A"/>
    <w:rsid w:val="008A597A"/>
    <w:rsid w:val="008B5804"/>
    <w:rsid w:val="008B5A4A"/>
    <w:rsid w:val="008C19CB"/>
    <w:rsid w:val="008F0DE5"/>
    <w:rsid w:val="008F1676"/>
    <w:rsid w:val="008F3D70"/>
    <w:rsid w:val="008F4846"/>
    <w:rsid w:val="009008F9"/>
    <w:rsid w:val="00904299"/>
    <w:rsid w:val="0090494D"/>
    <w:rsid w:val="00912EFD"/>
    <w:rsid w:val="0091325E"/>
    <w:rsid w:val="009148E7"/>
    <w:rsid w:val="009150E2"/>
    <w:rsid w:val="00921D1D"/>
    <w:rsid w:val="00931146"/>
    <w:rsid w:val="0094264B"/>
    <w:rsid w:val="00943CE5"/>
    <w:rsid w:val="009501C1"/>
    <w:rsid w:val="009528D2"/>
    <w:rsid w:val="00953E53"/>
    <w:rsid w:val="00955AB5"/>
    <w:rsid w:val="00961230"/>
    <w:rsid w:val="009759F9"/>
    <w:rsid w:val="009775F8"/>
    <w:rsid w:val="00977680"/>
    <w:rsid w:val="0098719D"/>
    <w:rsid w:val="009978C2"/>
    <w:rsid w:val="009A3479"/>
    <w:rsid w:val="009B193C"/>
    <w:rsid w:val="009B499C"/>
    <w:rsid w:val="009C0B0A"/>
    <w:rsid w:val="009D3397"/>
    <w:rsid w:val="009E2B33"/>
    <w:rsid w:val="009F090F"/>
    <w:rsid w:val="009F3113"/>
    <w:rsid w:val="009F563A"/>
    <w:rsid w:val="009F6D23"/>
    <w:rsid w:val="00A0270A"/>
    <w:rsid w:val="00A07859"/>
    <w:rsid w:val="00A162C1"/>
    <w:rsid w:val="00A201B7"/>
    <w:rsid w:val="00A2376B"/>
    <w:rsid w:val="00A27D39"/>
    <w:rsid w:val="00A4360E"/>
    <w:rsid w:val="00A46EFF"/>
    <w:rsid w:val="00A63D52"/>
    <w:rsid w:val="00A71A60"/>
    <w:rsid w:val="00A74C83"/>
    <w:rsid w:val="00A833C5"/>
    <w:rsid w:val="00A936E7"/>
    <w:rsid w:val="00A949C7"/>
    <w:rsid w:val="00A96B66"/>
    <w:rsid w:val="00A96FA1"/>
    <w:rsid w:val="00AB7E5F"/>
    <w:rsid w:val="00AC1FF0"/>
    <w:rsid w:val="00AD0F95"/>
    <w:rsid w:val="00AF79AF"/>
    <w:rsid w:val="00B0021F"/>
    <w:rsid w:val="00B10350"/>
    <w:rsid w:val="00B160E5"/>
    <w:rsid w:val="00B210C3"/>
    <w:rsid w:val="00B343C9"/>
    <w:rsid w:val="00B34DAD"/>
    <w:rsid w:val="00B37B45"/>
    <w:rsid w:val="00B43057"/>
    <w:rsid w:val="00B47705"/>
    <w:rsid w:val="00B52829"/>
    <w:rsid w:val="00B55A5E"/>
    <w:rsid w:val="00B57346"/>
    <w:rsid w:val="00B6708C"/>
    <w:rsid w:val="00B725C6"/>
    <w:rsid w:val="00B9041D"/>
    <w:rsid w:val="00BB70F3"/>
    <w:rsid w:val="00BC3FA3"/>
    <w:rsid w:val="00BC633E"/>
    <w:rsid w:val="00BD735A"/>
    <w:rsid w:val="00BE1673"/>
    <w:rsid w:val="00BE2FC5"/>
    <w:rsid w:val="00BE3410"/>
    <w:rsid w:val="00BE7212"/>
    <w:rsid w:val="00BF27C1"/>
    <w:rsid w:val="00BF3E4C"/>
    <w:rsid w:val="00BF5FA9"/>
    <w:rsid w:val="00BF7A19"/>
    <w:rsid w:val="00C035B9"/>
    <w:rsid w:val="00C123BE"/>
    <w:rsid w:val="00C456E2"/>
    <w:rsid w:val="00C4697D"/>
    <w:rsid w:val="00C50FD1"/>
    <w:rsid w:val="00C54865"/>
    <w:rsid w:val="00C6654E"/>
    <w:rsid w:val="00C74C79"/>
    <w:rsid w:val="00C7503D"/>
    <w:rsid w:val="00C7666E"/>
    <w:rsid w:val="00C94603"/>
    <w:rsid w:val="00CA018F"/>
    <w:rsid w:val="00CA5525"/>
    <w:rsid w:val="00CA79A9"/>
    <w:rsid w:val="00CB070D"/>
    <w:rsid w:val="00CB0EBF"/>
    <w:rsid w:val="00CC4F24"/>
    <w:rsid w:val="00CD369F"/>
    <w:rsid w:val="00CD5A70"/>
    <w:rsid w:val="00CE4F07"/>
    <w:rsid w:val="00CF180C"/>
    <w:rsid w:val="00D026F0"/>
    <w:rsid w:val="00D11B8A"/>
    <w:rsid w:val="00D340AF"/>
    <w:rsid w:val="00D41AB1"/>
    <w:rsid w:val="00D471ED"/>
    <w:rsid w:val="00D54629"/>
    <w:rsid w:val="00D574D9"/>
    <w:rsid w:val="00D65E22"/>
    <w:rsid w:val="00D6619A"/>
    <w:rsid w:val="00D66B41"/>
    <w:rsid w:val="00D80950"/>
    <w:rsid w:val="00D810B2"/>
    <w:rsid w:val="00D83F16"/>
    <w:rsid w:val="00D92CA7"/>
    <w:rsid w:val="00DA140A"/>
    <w:rsid w:val="00DB2D2B"/>
    <w:rsid w:val="00DB4ACC"/>
    <w:rsid w:val="00DD4B3D"/>
    <w:rsid w:val="00DE2FBF"/>
    <w:rsid w:val="00DE7918"/>
    <w:rsid w:val="00DF2A7C"/>
    <w:rsid w:val="00DF6EDA"/>
    <w:rsid w:val="00E272F6"/>
    <w:rsid w:val="00E33C74"/>
    <w:rsid w:val="00E50D0E"/>
    <w:rsid w:val="00E52C8F"/>
    <w:rsid w:val="00E64134"/>
    <w:rsid w:val="00E65206"/>
    <w:rsid w:val="00E72B7D"/>
    <w:rsid w:val="00E8223A"/>
    <w:rsid w:val="00E82CE3"/>
    <w:rsid w:val="00E91951"/>
    <w:rsid w:val="00E930E5"/>
    <w:rsid w:val="00EA17B1"/>
    <w:rsid w:val="00EA65EA"/>
    <w:rsid w:val="00EC7382"/>
    <w:rsid w:val="00ED0FB7"/>
    <w:rsid w:val="00EE0B69"/>
    <w:rsid w:val="00EE1FD8"/>
    <w:rsid w:val="00EE66F0"/>
    <w:rsid w:val="00EE7C56"/>
    <w:rsid w:val="00EF1604"/>
    <w:rsid w:val="00EF5AB7"/>
    <w:rsid w:val="00EF6FEC"/>
    <w:rsid w:val="00EF761B"/>
    <w:rsid w:val="00F06BDF"/>
    <w:rsid w:val="00F2586E"/>
    <w:rsid w:val="00F261B4"/>
    <w:rsid w:val="00F26E83"/>
    <w:rsid w:val="00F37BFB"/>
    <w:rsid w:val="00F4545D"/>
    <w:rsid w:val="00F46600"/>
    <w:rsid w:val="00F47A7E"/>
    <w:rsid w:val="00F529C8"/>
    <w:rsid w:val="00F5415F"/>
    <w:rsid w:val="00F61D4C"/>
    <w:rsid w:val="00F64521"/>
    <w:rsid w:val="00F7197D"/>
    <w:rsid w:val="00F95F3F"/>
    <w:rsid w:val="00F96681"/>
    <w:rsid w:val="00F96D2D"/>
    <w:rsid w:val="00FA08CC"/>
    <w:rsid w:val="00FA1D94"/>
    <w:rsid w:val="00FB2E17"/>
    <w:rsid w:val="00FC2A9C"/>
    <w:rsid w:val="00FD147A"/>
    <w:rsid w:val="00FD46C8"/>
    <w:rsid w:val="00FF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558B7"/>
  <w15:docId w15:val="{C347E5EF-4FAB-B247-93A1-61BBDF33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F6"/>
  </w:style>
  <w:style w:type="paragraph" w:styleId="Heading3">
    <w:name w:val="heading 3"/>
    <w:basedOn w:val="Normal"/>
    <w:link w:val="Heading3Char"/>
    <w:uiPriority w:val="9"/>
    <w:qFormat/>
    <w:rsid w:val="00B0021F"/>
    <w:pPr>
      <w:spacing w:before="100" w:beforeAutospacing="1" w:after="100" w:afterAutospacing="1"/>
      <w:outlineLvl w:val="2"/>
    </w:pPr>
    <w:rPr>
      <w:rFonts w:ascii="Times New Roman" w:eastAsia="Times New Roman" w:hAnsi="Times New Roman" w:cs="Times New Roman"/>
      <w:b/>
      <w:bCs/>
      <w:sz w:val="27"/>
      <w:szCs w:val="27"/>
      <w:lang w:val="en-AU" w:eastAsia="en-GB"/>
    </w:rPr>
  </w:style>
  <w:style w:type="paragraph" w:styleId="Heading4">
    <w:name w:val="heading 4"/>
    <w:basedOn w:val="Normal"/>
    <w:next w:val="Normal"/>
    <w:link w:val="Heading4Char"/>
    <w:uiPriority w:val="9"/>
    <w:semiHidden/>
    <w:unhideWhenUsed/>
    <w:qFormat/>
    <w:rsid w:val="00E72B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E272F6"/>
    <w:rPr>
      <w:rFonts w:ascii="Times New Roman" w:eastAsia="Times New Roman" w:hAnsi="Times New Roman" w:cs="Times New Roman"/>
      <w:lang w:val="en-AU"/>
    </w:rPr>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E272F6"/>
    <w:rPr>
      <w:rFonts w:ascii="Times New Roman" w:eastAsia="Times New Roman" w:hAnsi="Times New Roman" w:cs="Times New Roman"/>
      <w:lang w:val="en-AU"/>
    </w:rPr>
  </w:style>
  <w:style w:type="character" w:styleId="FootnoteReference">
    <w:name w:val="footnote reference"/>
    <w:aliases w:val="Footnotes refss"/>
    <w:basedOn w:val="DefaultParagraphFont"/>
    <w:uiPriority w:val="99"/>
    <w:unhideWhenUsed/>
    <w:rsid w:val="00E272F6"/>
    <w:rPr>
      <w:vertAlign w:val="superscript"/>
    </w:rPr>
  </w:style>
  <w:style w:type="character" w:styleId="Hyperlink">
    <w:name w:val="Hyperlink"/>
    <w:basedOn w:val="DefaultParagraphFont"/>
    <w:uiPriority w:val="99"/>
    <w:unhideWhenUsed/>
    <w:rsid w:val="00E272F6"/>
    <w:rPr>
      <w:color w:val="0000FF"/>
      <w:u w:val="single"/>
    </w:rPr>
  </w:style>
  <w:style w:type="paragraph" w:styleId="BalloonText">
    <w:name w:val="Balloon Text"/>
    <w:basedOn w:val="Normal"/>
    <w:link w:val="BalloonTextChar"/>
    <w:uiPriority w:val="99"/>
    <w:semiHidden/>
    <w:unhideWhenUsed/>
    <w:rsid w:val="00E272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72F6"/>
    <w:rPr>
      <w:rFonts w:ascii="Lucida Grande" w:hAnsi="Lucida Grande" w:cs="Lucida Grande"/>
      <w:sz w:val="18"/>
      <w:szCs w:val="18"/>
    </w:rPr>
  </w:style>
  <w:style w:type="paragraph" w:styleId="NormalWeb">
    <w:name w:val="Normal (Web)"/>
    <w:basedOn w:val="Normal"/>
    <w:uiPriority w:val="99"/>
    <w:unhideWhenUsed/>
    <w:rsid w:val="00BC3FA3"/>
    <w:rPr>
      <w:rFonts w:ascii="Times New Roman" w:eastAsiaTheme="minorHAnsi" w:hAnsi="Times New Roman" w:cs="Times New Roman"/>
      <w:lang w:val="en-AU"/>
    </w:rPr>
  </w:style>
  <w:style w:type="character" w:styleId="FollowedHyperlink">
    <w:name w:val="FollowedHyperlink"/>
    <w:basedOn w:val="DefaultParagraphFont"/>
    <w:uiPriority w:val="99"/>
    <w:semiHidden/>
    <w:unhideWhenUsed/>
    <w:rsid w:val="00595C99"/>
    <w:rPr>
      <w:color w:val="800080" w:themeColor="followedHyperlink"/>
      <w:u w:val="single"/>
    </w:rPr>
  </w:style>
  <w:style w:type="paragraph" w:styleId="NoSpacing">
    <w:name w:val="No Spacing"/>
    <w:uiPriority w:val="1"/>
    <w:qFormat/>
    <w:rsid w:val="004F195C"/>
  </w:style>
  <w:style w:type="character" w:styleId="UnresolvedMention">
    <w:name w:val="Unresolved Mention"/>
    <w:basedOn w:val="DefaultParagraphFont"/>
    <w:uiPriority w:val="99"/>
    <w:semiHidden/>
    <w:unhideWhenUsed/>
    <w:rsid w:val="00670C2F"/>
    <w:rPr>
      <w:color w:val="605E5C"/>
      <w:shd w:val="clear" w:color="auto" w:fill="E1DFDD"/>
    </w:rPr>
  </w:style>
  <w:style w:type="paragraph" w:customStyle="1" w:styleId="Numberedparagraph">
    <w:name w:val="Numbered paragraph"/>
    <w:basedOn w:val="ListParagraph"/>
    <w:link w:val="NumberedparagraphChar"/>
    <w:qFormat/>
    <w:rsid w:val="006F6204"/>
    <w:pPr>
      <w:numPr>
        <w:numId w:val="2"/>
      </w:numPr>
      <w:spacing w:before="120" w:after="240" w:line="276" w:lineRule="auto"/>
      <w:contextualSpacing w:val="0"/>
    </w:pPr>
    <w:rPr>
      <w:rFonts w:ascii="Arial" w:hAnsi="Arial" w:cs="Arial"/>
      <w:lang w:val="en-AU"/>
    </w:rPr>
  </w:style>
  <w:style w:type="character" w:customStyle="1" w:styleId="NumberedparagraphChar">
    <w:name w:val="Numbered paragraph Char"/>
    <w:basedOn w:val="DefaultParagraphFont"/>
    <w:link w:val="Numberedparagraph"/>
    <w:rsid w:val="006F6204"/>
    <w:rPr>
      <w:rFonts w:ascii="Arial" w:hAnsi="Arial" w:cs="Arial"/>
      <w:lang w:val="en-AU"/>
    </w:rPr>
  </w:style>
  <w:style w:type="paragraph" w:styleId="ListParagraph">
    <w:name w:val="List Paragraph"/>
    <w:basedOn w:val="Normal"/>
    <w:uiPriority w:val="34"/>
    <w:qFormat/>
    <w:rsid w:val="006F6204"/>
    <w:pPr>
      <w:ind w:left="720"/>
      <w:contextualSpacing/>
    </w:pPr>
  </w:style>
  <w:style w:type="character" w:customStyle="1" w:styleId="Heading3Char">
    <w:name w:val="Heading 3 Char"/>
    <w:basedOn w:val="DefaultParagraphFont"/>
    <w:link w:val="Heading3"/>
    <w:uiPriority w:val="9"/>
    <w:rsid w:val="00B0021F"/>
    <w:rPr>
      <w:rFonts w:ascii="Times New Roman" w:eastAsia="Times New Roman" w:hAnsi="Times New Roman" w:cs="Times New Roman"/>
      <w:b/>
      <w:bCs/>
      <w:sz w:val="27"/>
      <w:szCs w:val="27"/>
      <w:lang w:val="en-AU" w:eastAsia="en-GB"/>
    </w:rPr>
  </w:style>
  <w:style w:type="character" w:customStyle="1" w:styleId="Heading4Char">
    <w:name w:val="Heading 4 Char"/>
    <w:basedOn w:val="DefaultParagraphFont"/>
    <w:link w:val="Heading4"/>
    <w:uiPriority w:val="9"/>
    <w:semiHidden/>
    <w:rsid w:val="00E72B7D"/>
    <w:rPr>
      <w:rFonts w:asciiTheme="majorHAnsi" w:eastAsiaTheme="majorEastAsia" w:hAnsiTheme="majorHAnsi" w:cstheme="majorBidi"/>
      <w:i/>
      <w:iCs/>
      <w:color w:val="365F91" w:themeColor="accent1" w:themeShade="BF"/>
    </w:rPr>
  </w:style>
  <w:style w:type="paragraph" w:styleId="Footer">
    <w:name w:val="footer"/>
    <w:basedOn w:val="Normal"/>
    <w:link w:val="FooterChar"/>
    <w:uiPriority w:val="99"/>
    <w:unhideWhenUsed/>
    <w:rsid w:val="0033785A"/>
    <w:pPr>
      <w:tabs>
        <w:tab w:val="center" w:pos="4513"/>
        <w:tab w:val="right" w:pos="9026"/>
      </w:tabs>
    </w:pPr>
  </w:style>
  <w:style w:type="character" w:customStyle="1" w:styleId="FooterChar">
    <w:name w:val="Footer Char"/>
    <w:basedOn w:val="DefaultParagraphFont"/>
    <w:link w:val="Footer"/>
    <w:uiPriority w:val="99"/>
    <w:rsid w:val="0033785A"/>
  </w:style>
  <w:style w:type="character" w:styleId="PageNumber">
    <w:name w:val="page number"/>
    <w:basedOn w:val="DefaultParagraphFont"/>
    <w:uiPriority w:val="99"/>
    <w:semiHidden/>
    <w:unhideWhenUsed/>
    <w:rsid w:val="0033785A"/>
  </w:style>
  <w:style w:type="table" w:styleId="TableGrid">
    <w:name w:val="Table Grid"/>
    <w:basedOn w:val="TableNormal"/>
    <w:uiPriority w:val="59"/>
    <w:rsid w:val="00EE0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F47"/>
    <w:pPr>
      <w:tabs>
        <w:tab w:val="center" w:pos="4513"/>
        <w:tab w:val="right" w:pos="9026"/>
      </w:tabs>
    </w:pPr>
  </w:style>
  <w:style w:type="character" w:customStyle="1" w:styleId="HeaderChar">
    <w:name w:val="Header Char"/>
    <w:basedOn w:val="DefaultParagraphFont"/>
    <w:link w:val="Header"/>
    <w:uiPriority w:val="99"/>
    <w:rsid w:val="00463F47"/>
  </w:style>
  <w:style w:type="paragraph" w:styleId="EndnoteText">
    <w:name w:val="endnote text"/>
    <w:basedOn w:val="Normal"/>
    <w:link w:val="EndnoteTextChar"/>
    <w:uiPriority w:val="99"/>
    <w:unhideWhenUsed/>
    <w:rsid w:val="00DD4B3D"/>
    <w:rPr>
      <w:rFonts w:ascii="Open Sans" w:eastAsia="Calibri" w:hAnsi="Open Sans" w:cs="Calibri"/>
      <w:sz w:val="20"/>
      <w:szCs w:val="20"/>
      <w:lang w:val="en-GB" w:eastAsia="en-AU"/>
    </w:rPr>
  </w:style>
  <w:style w:type="character" w:customStyle="1" w:styleId="EndnoteTextChar">
    <w:name w:val="Endnote Text Char"/>
    <w:basedOn w:val="DefaultParagraphFont"/>
    <w:link w:val="EndnoteText"/>
    <w:uiPriority w:val="99"/>
    <w:rsid w:val="00DD4B3D"/>
    <w:rPr>
      <w:rFonts w:ascii="Open Sans" w:eastAsia="Calibri" w:hAnsi="Open Sans" w:cs="Calibri"/>
      <w:sz w:val="20"/>
      <w:szCs w:val="20"/>
      <w:lang w:val="en-GB" w:eastAsia="en-AU"/>
    </w:rPr>
  </w:style>
  <w:style w:type="character" w:styleId="EndnoteReference">
    <w:name w:val="endnote reference"/>
    <w:basedOn w:val="DefaultParagraphFont"/>
    <w:uiPriority w:val="99"/>
    <w:unhideWhenUsed/>
    <w:rsid w:val="00DD4B3D"/>
    <w:rPr>
      <w:vertAlign w:val="superscript"/>
    </w:rPr>
  </w:style>
  <w:style w:type="paragraph" w:styleId="Quote">
    <w:name w:val="Quote"/>
    <w:basedOn w:val="Normal"/>
    <w:next w:val="Normal"/>
    <w:link w:val="QuoteChar"/>
    <w:uiPriority w:val="29"/>
    <w:qFormat/>
    <w:rsid w:val="00DD4B3D"/>
    <w:pPr>
      <w:spacing w:before="240" w:after="240" w:line="276" w:lineRule="auto"/>
      <w:ind w:left="720"/>
    </w:pPr>
    <w:rPr>
      <w:rFonts w:ascii="Open Sans" w:eastAsia="Calibri" w:hAnsi="Open Sans" w:cs="Calibri"/>
      <w:iCs/>
      <w:szCs w:val="22"/>
      <w:lang w:val="en-GB" w:eastAsia="en-AU"/>
    </w:rPr>
  </w:style>
  <w:style w:type="character" w:customStyle="1" w:styleId="QuoteChar">
    <w:name w:val="Quote Char"/>
    <w:basedOn w:val="DefaultParagraphFont"/>
    <w:link w:val="Quote"/>
    <w:uiPriority w:val="29"/>
    <w:rsid w:val="00DD4B3D"/>
    <w:rPr>
      <w:rFonts w:ascii="Open Sans" w:eastAsia="Calibri" w:hAnsi="Open Sans" w:cs="Calibri"/>
      <w:iCs/>
      <w:szCs w:val="22"/>
      <w:lang w:val="en-GB" w:eastAsia="en-AU"/>
    </w:rPr>
  </w:style>
  <w:style w:type="paragraph" w:styleId="ListNumber2">
    <w:name w:val="List Number 2"/>
    <w:basedOn w:val="Normal"/>
    <w:uiPriority w:val="99"/>
    <w:unhideWhenUsed/>
    <w:rsid w:val="00EE1FD8"/>
    <w:pPr>
      <w:numPr>
        <w:numId w:val="9"/>
      </w:numPr>
      <w:spacing w:before="120" w:after="120" w:line="276" w:lineRule="auto"/>
    </w:pPr>
    <w:rPr>
      <w:rFonts w:ascii="Open Sans" w:eastAsia="Calibri" w:hAnsi="Open Sans" w:cs="Calibri"/>
      <w:szCs w:val="22"/>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1055">
      <w:bodyDiv w:val="1"/>
      <w:marLeft w:val="0"/>
      <w:marRight w:val="0"/>
      <w:marTop w:val="0"/>
      <w:marBottom w:val="0"/>
      <w:divBdr>
        <w:top w:val="none" w:sz="0" w:space="0" w:color="auto"/>
        <w:left w:val="none" w:sz="0" w:space="0" w:color="auto"/>
        <w:bottom w:val="none" w:sz="0" w:space="0" w:color="auto"/>
        <w:right w:val="none" w:sz="0" w:space="0" w:color="auto"/>
      </w:divBdr>
      <w:divsChild>
        <w:div w:id="1681543422">
          <w:marLeft w:val="0"/>
          <w:marRight w:val="0"/>
          <w:marTop w:val="0"/>
          <w:marBottom w:val="0"/>
          <w:divBdr>
            <w:top w:val="none" w:sz="0" w:space="0" w:color="auto"/>
            <w:left w:val="none" w:sz="0" w:space="0" w:color="auto"/>
            <w:bottom w:val="none" w:sz="0" w:space="0" w:color="auto"/>
            <w:right w:val="none" w:sz="0" w:space="0" w:color="auto"/>
          </w:divBdr>
        </w:div>
        <w:div w:id="970550510">
          <w:marLeft w:val="0"/>
          <w:marRight w:val="0"/>
          <w:marTop w:val="0"/>
          <w:marBottom w:val="0"/>
          <w:divBdr>
            <w:top w:val="none" w:sz="0" w:space="0" w:color="auto"/>
            <w:left w:val="none" w:sz="0" w:space="0" w:color="auto"/>
            <w:bottom w:val="none" w:sz="0" w:space="0" w:color="auto"/>
            <w:right w:val="none" w:sz="0" w:space="0" w:color="auto"/>
          </w:divBdr>
        </w:div>
        <w:div w:id="2145266766">
          <w:marLeft w:val="0"/>
          <w:marRight w:val="0"/>
          <w:marTop w:val="0"/>
          <w:marBottom w:val="0"/>
          <w:divBdr>
            <w:top w:val="none" w:sz="0" w:space="0" w:color="auto"/>
            <w:left w:val="none" w:sz="0" w:space="0" w:color="auto"/>
            <w:bottom w:val="none" w:sz="0" w:space="0" w:color="auto"/>
            <w:right w:val="none" w:sz="0" w:space="0" w:color="auto"/>
          </w:divBdr>
        </w:div>
        <w:div w:id="1284728542">
          <w:marLeft w:val="0"/>
          <w:marRight w:val="0"/>
          <w:marTop w:val="0"/>
          <w:marBottom w:val="0"/>
          <w:divBdr>
            <w:top w:val="none" w:sz="0" w:space="0" w:color="auto"/>
            <w:left w:val="none" w:sz="0" w:space="0" w:color="auto"/>
            <w:bottom w:val="none" w:sz="0" w:space="0" w:color="auto"/>
            <w:right w:val="none" w:sz="0" w:space="0" w:color="auto"/>
          </w:divBdr>
        </w:div>
        <w:div w:id="2112503723">
          <w:marLeft w:val="0"/>
          <w:marRight w:val="0"/>
          <w:marTop w:val="0"/>
          <w:marBottom w:val="0"/>
          <w:divBdr>
            <w:top w:val="none" w:sz="0" w:space="0" w:color="auto"/>
            <w:left w:val="none" w:sz="0" w:space="0" w:color="auto"/>
            <w:bottom w:val="none" w:sz="0" w:space="0" w:color="auto"/>
            <w:right w:val="none" w:sz="0" w:space="0" w:color="auto"/>
          </w:divBdr>
        </w:div>
      </w:divsChild>
    </w:div>
    <w:div w:id="452017076">
      <w:bodyDiv w:val="1"/>
      <w:marLeft w:val="0"/>
      <w:marRight w:val="0"/>
      <w:marTop w:val="0"/>
      <w:marBottom w:val="0"/>
      <w:divBdr>
        <w:top w:val="none" w:sz="0" w:space="0" w:color="auto"/>
        <w:left w:val="none" w:sz="0" w:space="0" w:color="auto"/>
        <w:bottom w:val="none" w:sz="0" w:space="0" w:color="auto"/>
        <w:right w:val="none" w:sz="0" w:space="0" w:color="auto"/>
      </w:divBdr>
    </w:div>
    <w:div w:id="845704056">
      <w:bodyDiv w:val="1"/>
      <w:marLeft w:val="0"/>
      <w:marRight w:val="0"/>
      <w:marTop w:val="0"/>
      <w:marBottom w:val="0"/>
      <w:divBdr>
        <w:top w:val="none" w:sz="0" w:space="0" w:color="auto"/>
        <w:left w:val="none" w:sz="0" w:space="0" w:color="auto"/>
        <w:bottom w:val="none" w:sz="0" w:space="0" w:color="auto"/>
        <w:right w:val="none" w:sz="0" w:space="0" w:color="auto"/>
      </w:divBdr>
      <w:divsChild>
        <w:div w:id="1585144228">
          <w:marLeft w:val="0"/>
          <w:marRight w:val="0"/>
          <w:marTop w:val="0"/>
          <w:marBottom w:val="0"/>
          <w:divBdr>
            <w:top w:val="none" w:sz="0" w:space="0" w:color="auto"/>
            <w:left w:val="none" w:sz="0" w:space="0" w:color="auto"/>
            <w:bottom w:val="none" w:sz="0" w:space="0" w:color="auto"/>
            <w:right w:val="none" w:sz="0" w:space="0" w:color="auto"/>
          </w:divBdr>
        </w:div>
        <w:div w:id="2096049488">
          <w:marLeft w:val="0"/>
          <w:marRight w:val="0"/>
          <w:marTop w:val="0"/>
          <w:marBottom w:val="0"/>
          <w:divBdr>
            <w:top w:val="none" w:sz="0" w:space="0" w:color="auto"/>
            <w:left w:val="none" w:sz="0" w:space="0" w:color="auto"/>
            <w:bottom w:val="none" w:sz="0" w:space="0" w:color="auto"/>
            <w:right w:val="none" w:sz="0" w:space="0" w:color="auto"/>
          </w:divBdr>
        </w:div>
        <w:div w:id="1929462627">
          <w:marLeft w:val="0"/>
          <w:marRight w:val="0"/>
          <w:marTop w:val="0"/>
          <w:marBottom w:val="0"/>
          <w:divBdr>
            <w:top w:val="none" w:sz="0" w:space="0" w:color="auto"/>
            <w:left w:val="none" w:sz="0" w:space="0" w:color="auto"/>
            <w:bottom w:val="none" w:sz="0" w:space="0" w:color="auto"/>
            <w:right w:val="none" w:sz="0" w:space="0" w:color="auto"/>
          </w:divBdr>
        </w:div>
        <w:div w:id="1258293788">
          <w:marLeft w:val="0"/>
          <w:marRight w:val="0"/>
          <w:marTop w:val="0"/>
          <w:marBottom w:val="0"/>
          <w:divBdr>
            <w:top w:val="none" w:sz="0" w:space="0" w:color="auto"/>
            <w:left w:val="none" w:sz="0" w:space="0" w:color="auto"/>
            <w:bottom w:val="none" w:sz="0" w:space="0" w:color="auto"/>
            <w:right w:val="none" w:sz="0" w:space="0" w:color="auto"/>
          </w:divBdr>
        </w:div>
        <w:div w:id="1730961015">
          <w:marLeft w:val="0"/>
          <w:marRight w:val="0"/>
          <w:marTop w:val="0"/>
          <w:marBottom w:val="0"/>
          <w:divBdr>
            <w:top w:val="none" w:sz="0" w:space="0" w:color="auto"/>
            <w:left w:val="none" w:sz="0" w:space="0" w:color="auto"/>
            <w:bottom w:val="none" w:sz="0" w:space="0" w:color="auto"/>
            <w:right w:val="none" w:sz="0" w:space="0" w:color="auto"/>
          </w:divBdr>
        </w:div>
        <w:div w:id="206768267">
          <w:marLeft w:val="0"/>
          <w:marRight w:val="0"/>
          <w:marTop w:val="0"/>
          <w:marBottom w:val="0"/>
          <w:divBdr>
            <w:top w:val="none" w:sz="0" w:space="0" w:color="auto"/>
            <w:left w:val="none" w:sz="0" w:space="0" w:color="auto"/>
            <w:bottom w:val="none" w:sz="0" w:space="0" w:color="auto"/>
            <w:right w:val="none" w:sz="0" w:space="0" w:color="auto"/>
          </w:divBdr>
        </w:div>
        <w:div w:id="937831418">
          <w:marLeft w:val="0"/>
          <w:marRight w:val="0"/>
          <w:marTop w:val="0"/>
          <w:marBottom w:val="0"/>
          <w:divBdr>
            <w:top w:val="none" w:sz="0" w:space="0" w:color="auto"/>
            <w:left w:val="none" w:sz="0" w:space="0" w:color="auto"/>
            <w:bottom w:val="none" w:sz="0" w:space="0" w:color="auto"/>
            <w:right w:val="none" w:sz="0" w:space="0" w:color="auto"/>
          </w:divBdr>
        </w:div>
        <w:div w:id="504903002">
          <w:marLeft w:val="0"/>
          <w:marRight w:val="0"/>
          <w:marTop w:val="0"/>
          <w:marBottom w:val="0"/>
          <w:divBdr>
            <w:top w:val="none" w:sz="0" w:space="0" w:color="auto"/>
            <w:left w:val="none" w:sz="0" w:space="0" w:color="auto"/>
            <w:bottom w:val="none" w:sz="0" w:space="0" w:color="auto"/>
            <w:right w:val="none" w:sz="0" w:space="0" w:color="auto"/>
          </w:divBdr>
        </w:div>
        <w:div w:id="1637761607">
          <w:marLeft w:val="0"/>
          <w:marRight w:val="0"/>
          <w:marTop w:val="0"/>
          <w:marBottom w:val="0"/>
          <w:divBdr>
            <w:top w:val="none" w:sz="0" w:space="0" w:color="auto"/>
            <w:left w:val="none" w:sz="0" w:space="0" w:color="auto"/>
            <w:bottom w:val="none" w:sz="0" w:space="0" w:color="auto"/>
            <w:right w:val="none" w:sz="0" w:space="0" w:color="auto"/>
          </w:divBdr>
        </w:div>
        <w:div w:id="883370806">
          <w:marLeft w:val="0"/>
          <w:marRight w:val="0"/>
          <w:marTop w:val="0"/>
          <w:marBottom w:val="0"/>
          <w:divBdr>
            <w:top w:val="none" w:sz="0" w:space="0" w:color="auto"/>
            <w:left w:val="none" w:sz="0" w:space="0" w:color="auto"/>
            <w:bottom w:val="none" w:sz="0" w:space="0" w:color="auto"/>
            <w:right w:val="none" w:sz="0" w:space="0" w:color="auto"/>
          </w:divBdr>
        </w:div>
        <w:div w:id="996299290">
          <w:marLeft w:val="0"/>
          <w:marRight w:val="0"/>
          <w:marTop w:val="0"/>
          <w:marBottom w:val="0"/>
          <w:divBdr>
            <w:top w:val="none" w:sz="0" w:space="0" w:color="auto"/>
            <w:left w:val="none" w:sz="0" w:space="0" w:color="auto"/>
            <w:bottom w:val="none" w:sz="0" w:space="0" w:color="auto"/>
            <w:right w:val="none" w:sz="0" w:space="0" w:color="auto"/>
          </w:divBdr>
        </w:div>
        <w:div w:id="1614095894">
          <w:marLeft w:val="0"/>
          <w:marRight w:val="0"/>
          <w:marTop w:val="0"/>
          <w:marBottom w:val="0"/>
          <w:divBdr>
            <w:top w:val="none" w:sz="0" w:space="0" w:color="auto"/>
            <w:left w:val="none" w:sz="0" w:space="0" w:color="auto"/>
            <w:bottom w:val="none" w:sz="0" w:space="0" w:color="auto"/>
            <w:right w:val="none" w:sz="0" w:space="0" w:color="auto"/>
          </w:divBdr>
        </w:div>
      </w:divsChild>
    </w:div>
    <w:div w:id="959841413">
      <w:bodyDiv w:val="1"/>
      <w:marLeft w:val="0"/>
      <w:marRight w:val="0"/>
      <w:marTop w:val="0"/>
      <w:marBottom w:val="0"/>
      <w:divBdr>
        <w:top w:val="none" w:sz="0" w:space="0" w:color="auto"/>
        <w:left w:val="none" w:sz="0" w:space="0" w:color="auto"/>
        <w:bottom w:val="none" w:sz="0" w:space="0" w:color="auto"/>
        <w:right w:val="none" w:sz="0" w:space="0" w:color="auto"/>
      </w:divBdr>
    </w:div>
    <w:div w:id="980156634">
      <w:bodyDiv w:val="1"/>
      <w:marLeft w:val="0"/>
      <w:marRight w:val="0"/>
      <w:marTop w:val="0"/>
      <w:marBottom w:val="0"/>
      <w:divBdr>
        <w:top w:val="none" w:sz="0" w:space="0" w:color="auto"/>
        <w:left w:val="none" w:sz="0" w:space="0" w:color="auto"/>
        <w:bottom w:val="none" w:sz="0" w:space="0" w:color="auto"/>
        <w:right w:val="none" w:sz="0" w:space="0" w:color="auto"/>
      </w:divBdr>
    </w:div>
    <w:div w:id="1168204491">
      <w:bodyDiv w:val="1"/>
      <w:marLeft w:val="0"/>
      <w:marRight w:val="0"/>
      <w:marTop w:val="0"/>
      <w:marBottom w:val="0"/>
      <w:divBdr>
        <w:top w:val="none" w:sz="0" w:space="0" w:color="auto"/>
        <w:left w:val="none" w:sz="0" w:space="0" w:color="auto"/>
        <w:bottom w:val="none" w:sz="0" w:space="0" w:color="auto"/>
        <w:right w:val="none" w:sz="0" w:space="0" w:color="auto"/>
      </w:divBdr>
    </w:div>
    <w:div w:id="1202523709">
      <w:bodyDiv w:val="1"/>
      <w:marLeft w:val="0"/>
      <w:marRight w:val="0"/>
      <w:marTop w:val="0"/>
      <w:marBottom w:val="0"/>
      <w:divBdr>
        <w:top w:val="none" w:sz="0" w:space="0" w:color="auto"/>
        <w:left w:val="none" w:sz="0" w:space="0" w:color="auto"/>
        <w:bottom w:val="none" w:sz="0" w:space="0" w:color="auto"/>
        <w:right w:val="none" w:sz="0" w:space="0" w:color="auto"/>
      </w:divBdr>
    </w:div>
    <w:div w:id="1248147955">
      <w:bodyDiv w:val="1"/>
      <w:marLeft w:val="0"/>
      <w:marRight w:val="0"/>
      <w:marTop w:val="0"/>
      <w:marBottom w:val="0"/>
      <w:divBdr>
        <w:top w:val="none" w:sz="0" w:space="0" w:color="auto"/>
        <w:left w:val="none" w:sz="0" w:space="0" w:color="auto"/>
        <w:bottom w:val="none" w:sz="0" w:space="0" w:color="auto"/>
        <w:right w:val="none" w:sz="0" w:space="0" w:color="auto"/>
      </w:divBdr>
      <w:divsChild>
        <w:div w:id="1532918355">
          <w:marLeft w:val="0"/>
          <w:marRight w:val="0"/>
          <w:marTop w:val="0"/>
          <w:marBottom w:val="0"/>
          <w:divBdr>
            <w:top w:val="none" w:sz="0" w:space="0" w:color="auto"/>
            <w:left w:val="none" w:sz="0" w:space="0" w:color="auto"/>
            <w:bottom w:val="none" w:sz="0" w:space="0" w:color="auto"/>
            <w:right w:val="none" w:sz="0" w:space="0" w:color="auto"/>
          </w:divBdr>
        </w:div>
        <w:div w:id="2087606431">
          <w:marLeft w:val="0"/>
          <w:marRight w:val="0"/>
          <w:marTop w:val="0"/>
          <w:marBottom w:val="0"/>
          <w:divBdr>
            <w:top w:val="none" w:sz="0" w:space="0" w:color="auto"/>
            <w:left w:val="none" w:sz="0" w:space="0" w:color="auto"/>
            <w:bottom w:val="none" w:sz="0" w:space="0" w:color="auto"/>
            <w:right w:val="none" w:sz="0" w:space="0" w:color="auto"/>
          </w:divBdr>
        </w:div>
        <w:div w:id="1866402809">
          <w:marLeft w:val="0"/>
          <w:marRight w:val="0"/>
          <w:marTop w:val="0"/>
          <w:marBottom w:val="0"/>
          <w:divBdr>
            <w:top w:val="none" w:sz="0" w:space="0" w:color="auto"/>
            <w:left w:val="none" w:sz="0" w:space="0" w:color="auto"/>
            <w:bottom w:val="none" w:sz="0" w:space="0" w:color="auto"/>
            <w:right w:val="none" w:sz="0" w:space="0" w:color="auto"/>
          </w:divBdr>
        </w:div>
      </w:divsChild>
    </w:div>
    <w:div w:id="1636643503">
      <w:bodyDiv w:val="1"/>
      <w:marLeft w:val="0"/>
      <w:marRight w:val="0"/>
      <w:marTop w:val="0"/>
      <w:marBottom w:val="0"/>
      <w:divBdr>
        <w:top w:val="none" w:sz="0" w:space="0" w:color="auto"/>
        <w:left w:val="none" w:sz="0" w:space="0" w:color="auto"/>
        <w:bottom w:val="none" w:sz="0" w:space="0" w:color="auto"/>
        <w:right w:val="none" w:sz="0" w:space="0" w:color="auto"/>
      </w:divBdr>
    </w:div>
    <w:div w:id="1755588857">
      <w:bodyDiv w:val="1"/>
      <w:marLeft w:val="0"/>
      <w:marRight w:val="0"/>
      <w:marTop w:val="0"/>
      <w:marBottom w:val="0"/>
      <w:divBdr>
        <w:top w:val="none" w:sz="0" w:space="0" w:color="auto"/>
        <w:left w:val="none" w:sz="0" w:space="0" w:color="auto"/>
        <w:bottom w:val="none" w:sz="0" w:space="0" w:color="auto"/>
        <w:right w:val="none" w:sz="0" w:space="0" w:color="auto"/>
      </w:divBdr>
      <w:divsChild>
        <w:div w:id="27264075">
          <w:marLeft w:val="0"/>
          <w:marRight w:val="0"/>
          <w:marTop w:val="0"/>
          <w:marBottom w:val="0"/>
          <w:divBdr>
            <w:top w:val="none" w:sz="0" w:space="0" w:color="auto"/>
            <w:left w:val="none" w:sz="0" w:space="0" w:color="auto"/>
            <w:bottom w:val="none" w:sz="0" w:space="0" w:color="auto"/>
            <w:right w:val="none" w:sz="0" w:space="0" w:color="auto"/>
          </w:divBdr>
        </w:div>
        <w:div w:id="1155144965">
          <w:marLeft w:val="0"/>
          <w:marRight w:val="0"/>
          <w:marTop w:val="0"/>
          <w:marBottom w:val="0"/>
          <w:divBdr>
            <w:top w:val="none" w:sz="0" w:space="0" w:color="auto"/>
            <w:left w:val="none" w:sz="0" w:space="0" w:color="auto"/>
            <w:bottom w:val="none" w:sz="0" w:space="0" w:color="auto"/>
            <w:right w:val="none" w:sz="0" w:space="0" w:color="auto"/>
          </w:divBdr>
        </w:div>
        <w:div w:id="1448156111">
          <w:marLeft w:val="0"/>
          <w:marRight w:val="0"/>
          <w:marTop w:val="0"/>
          <w:marBottom w:val="0"/>
          <w:divBdr>
            <w:top w:val="none" w:sz="0" w:space="0" w:color="auto"/>
            <w:left w:val="none" w:sz="0" w:space="0" w:color="auto"/>
            <w:bottom w:val="none" w:sz="0" w:space="0" w:color="auto"/>
            <w:right w:val="none" w:sz="0" w:space="0" w:color="auto"/>
          </w:divBdr>
        </w:div>
        <w:div w:id="1599874584">
          <w:marLeft w:val="0"/>
          <w:marRight w:val="0"/>
          <w:marTop w:val="0"/>
          <w:marBottom w:val="0"/>
          <w:divBdr>
            <w:top w:val="none" w:sz="0" w:space="0" w:color="auto"/>
            <w:left w:val="none" w:sz="0" w:space="0" w:color="auto"/>
            <w:bottom w:val="none" w:sz="0" w:space="0" w:color="auto"/>
            <w:right w:val="none" w:sz="0" w:space="0" w:color="auto"/>
          </w:divBdr>
        </w:div>
        <w:div w:id="1733581834">
          <w:marLeft w:val="0"/>
          <w:marRight w:val="0"/>
          <w:marTop w:val="0"/>
          <w:marBottom w:val="0"/>
          <w:divBdr>
            <w:top w:val="none" w:sz="0" w:space="0" w:color="auto"/>
            <w:left w:val="none" w:sz="0" w:space="0" w:color="auto"/>
            <w:bottom w:val="none" w:sz="0" w:space="0" w:color="auto"/>
            <w:right w:val="none" w:sz="0" w:space="0" w:color="auto"/>
          </w:divBdr>
        </w:div>
        <w:div w:id="1831020413">
          <w:marLeft w:val="0"/>
          <w:marRight w:val="0"/>
          <w:marTop w:val="0"/>
          <w:marBottom w:val="0"/>
          <w:divBdr>
            <w:top w:val="none" w:sz="0" w:space="0" w:color="auto"/>
            <w:left w:val="none" w:sz="0" w:space="0" w:color="auto"/>
            <w:bottom w:val="none" w:sz="0" w:space="0" w:color="auto"/>
            <w:right w:val="none" w:sz="0" w:space="0" w:color="auto"/>
          </w:divBdr>
        </w:div>
        <w:div w:id="21150074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haveyoursay@justice.tas.gov.a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Assaults against Police Officers in Tasmania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Police Offences Act 1935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2014/15</c:v>
                </c:pt>
                <c:pt idx="1">
                  <c:v>2015/16</c:v>
                </c:pt>
                <c:pt idx="2">
                  <c:v>2016/17</c:v>
                </c:pt>
                <c:pt idx="3">
                  <c:v>2017/18</c:v>
                </c:pt>
                <c:pt idx="4">
                  <c:v>2018/19</c:v>
                </c:pt>
                <c:pt idx="5">
                  <c:v>2019/20</c:v>
                </c:pt>
                <c:pt idx="6">
                  <c:v>2020/21</c:v>
                </c:pt>
                <c:pt idx="7">
                  <c:v>2021/22</c:v>
                </c:pt>
                <c:pt idx="8">
                  <c:v>2022/23</c:v>
                </c:pt>
              </c:strCache>
            </c:strRef>
          </c:cat>
          <c:val>
            <c:numRef>
              <c:f>Sheet1!$B$2:$B$10</c:f>
              <c:numCache>
                <c:formatCode>General</c:formatCode>
                <c:ptCount val="9"/>
                <c:pt idx="0">
                  <c:v>186</c:v>
                </c:pt>
                <c:pt idx="1">
                  <c:v>232</c:v>
                </c:pt>
                <c:pt idx="2">
                  <c:v>233</c:v>
                </c:pt>
                <c:pt idx="3">
                  <c:v>264</c:v>
                </c:pt>
                <c:pt idx="4">
                  <c:v>204</c:v>
                </c:pt>
                <c:pt idx="5">
                  <c:v>230</c:v>
                </c:pt>
                <c:pt idx="6">
                  <c:v>221</c:v>
                </c:pt>
                <c:pt idx="7">
                  <c:v>244</c:v>
                </c:pt>
                <c:pt idx="8">
                  <c:v>237</c:v>
                </c:pt>
              </c:numCache>
            </c:numRef>
          </c:val>
          <c:extLst>
            <c:ext xmlns:c16="http://schemas.microsoft.com/office/drawing/2014/chart" uri="{C3380CC4-5D6E-409C-BE32-E72D297353CC}">
              <c16:uniqueId val="{00000000-A9A0-1D4B-A50E-D7D7D7CD0A1C}"/>
            </c:ext>
          </c:extLst>
        </c:ser>
        <c:ser>
          <c:idx val="1"/>
          <c:order val="1"/>
          <c:tx>
            <c:strRef>
              <c:f>Sheet1!$C$1</c:f>
              <c:strCache>
                <c:ptCount val="1"/>
                <c:pt idx="0">
                  <c:v>Criminal Code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2014/15</c:v>
                </c:pt>
                <c:pt idx="1">
                  <c:v>2015/16</c:v>
                </c:pt>
                <c:pt idx="2">
                  <c:v>2016/17</c:v>
                </c:pt>
                <c:pt idx="3">
                  <c:v>2017/18</c:v>
                </c:pt>
                <c:pt idx="4">
                  <c:v>2018/19</c:v>
                </c:pt>
                <c:pt idx="5">
                  <c:v>2019/20</c:v>
                </c:pt>
                <c:pt idx="6">
                  <c:v>2020/21</c:v>
                </c:pt>
                <c:pt idx="7">
                  <c:v>2021/22</c:v>
                </c:pt>
                <c:pt idx="8">
                  <c:v>2022/23</c:v>
                </c:pt>
              </c:strCache>
            </c:strRef>
          </c:cat>
          <c:val>
            <c:numRef>
              <c:f>Sheet1!$C$2:$C$10</c:f>
              <c:numCache>
                <c:formatCode>General</c:formatCode>
                <c:ptCount val="9"/>
                <c:pt idx="0">
                  <c:v>9</c:v>
                </c:pt>
                <c:pt idx="1">
                  <c:v>15</c:v>
                </c:pt>
                <c:pt idx="2">
                  <c:v>12</c:v>
                </c:pt>
                <c:pt idx="3">
                  <c:v>18</c:v>
                </c:pt>
                <c:pt idx="4">
                  <c:v>18</c:v>
                </c:pt>
                <c:pt idx="5">
                  <c:v>23</c:v>
                </c:pt>
                <c:pt idx="6">
                  <c:v>16</c:v>
                </c:pt>
                <c:pt idx="7">
                  <c:v>6</c:v>
                </c:pt>
                <c:pt idx="8">
                  <c:v>6</c:v>
                </c:pt>
              </c:numCache>
            </c:numRef>
          </c:val>
          <c:extLst>
            <c:ext xmlns:c16="http://schemas.microsoft.com/office/drawing/2014/chart" uri="{C3380CC4-5D6E-409C-BE32-E72D297353CC}">
              <c16:uniqueId val="{00000001-A9A0-1D4B-A50E-D7D7D7CD0A1C}"/>
            </c:ext>
          </c:extLst>
        </c:ser>
        <c:dLbls>
          <c:showLegendKey val="0"/>
          <c:showVal val="0"/>
          <c:showCatName val="0"/>
          <c:showSerName val="0"/>
          <c:showPercent val="0"/>
          <c:showBubbleSize val="0"/>
        </c:dLbls>
        <c:gapWidth val="219"/>
        <c:overlap val="-27"/>
        <c:axId val="988869679"/>
        <c:axId val="988852287"/>
      </c:barChart>
      <c:catAx>
        <c:axId val="988869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852287"/>
        <c:crosses val="autoZero"/>
        <c:auto val="1"/>
        <c:lblAlgn val="ctr"/>
        <c:lblOffset val="100"/>
        <c:noMultiLvlLbl val="0"/>
      </c:catAx>
      <c:valAx>
        <c:axId val="988852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869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6B0F-8F20-8342-A4A8-88B5641D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3070</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TACLC</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Microsoft Office User</cp:lastModifiedBy>
  <cp:revision>9</cp:revision>
  <cp:lastPrinted>2024-05-23T07:17:00Z</cp:lastPrinted>
  <dcterms:created xsi:type="dcterms:W3CDTF">2024-05-15T00:18:00Z</dcterms:created>
  <dcterms:modified xsi:type="dcterms:W3CDTF">2024-05-23T07:18:00Z</dcterms:modified>
</cp:coreProperties>
</file>