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6944" w:rsidRPr="00D92193" w:rsidRDefault="005E6944" w:rsidP="005E6944">
      <w:pPr>
        <w:ind w:right="-347"/>
        <w:jc w:val="center"/>
      </w:pPr>
      <w:r>
        <w:rPr>
          <w:noProof/>
          <w:sz w:val="20"/>
          <w:szCs w:val="20"/>
          <w:lang w:eastAsia="en-AU"/>
        </w:rPr>
        <w:drawing>
          <wp:inline distT="0" distB="0" distL="0" distR="0" wp14:anchorId="584EB767" wp14:editId="5EDED0FE">
            <wp:extent cx="3235960" cy="1099476"/>
            <wp:effectExtent l="0" t="0" r="0" b="0"/>
            <wp:docPr id="5" name="Picture 1" descr="Shared Docs:Public:Sister Organisations:CLC Tas:CLCLogos:CLCTas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 Docs:Public:Sister Organisations:CLC Tas:CLCLogos:CLCTascolou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7972" cy="1100160"/>
                    </a:xfrm>
                    <a:prstGeom prst="rect">
                      <a:avLst/>
                    </a:prstGeom>
                    <a:noFill/>
                    <a:ln>
                      <a:noFill/>
                    </a:ln>
                  </pic:spPr>
                </pic:pic>
              </a:graphicData>
            </a:graphic>
          </wp:inline>
        </w:drawing>
      </w:r>
    </w:p>
    <w:p w:rsidR="005E6944" w:rsidRPr="00DD558B" w:rsidRDefault="005E6944" w:rsidP="005E6944">
      <w:pPr>
        <w:ind w:right="-347"/>
        <w:rPr>
          <w:rFonts w:ascii="Cambria" w:hAnsi="Cambria"/>
        </w:rPr>
      </w:pPr>
    </w:p>
    <w:p w:rsidR="005E6944" w:rsidRPr="00DD558B" w:rsidRDefault="00170139" w:rsidP="005E6944">
      <w:pPr>
        <w:ind w:right="-347"/>
        <w:rPr>
          <w:rFonts w:ascii="Cambria" w:hAnsi="Cambria"/>
          <w:color w:val="000000" w:themeColor="text1"/>
        </w:rPr>
      </w:pPr>
      <w:r>
        <w:rPr>
          <w:rFonts w:ascii="Cambria" w:hAnsi="Cambria"/>
          <w:color w:val="000000" w:themeColor="text1"/>
        </w:rPr>
        <w:t>6</w:t>
      </w:r>
      <w:r w:rsidR="005E6944" w:rsidRPr="00DD558B">
        <w:rPr>
          <w:rFonts w:ascii="Cambria" w:hAnsi="Cambria"/>
          <w:color w:val="000000" w:themeColor="text1"/>
        </w:rPr>
        <w:t xml:space="preserve"> June 2024</w:t>
      </w:r>
    </w:p>
    <w:p w:rsidR="005E6944" w:rsidRPr="00DD558B" w:rsidRDefault="005E6944" w:rsidP="005E6944">
      <w:pPr>
        <w:ind w:right="-347"/>
        <w:rPr>
          <w:rFonts w:ascii="Cambria" w:hAnsi="Cambria"/>
          <w:color w:val="000000" w:themeColor="text1"/>
        </w:rPr>
      </w:pPr>
    </w:p>
    <w:p w:rsidR="005E6944" w:rsidRPr="00DD558B" w:rsidRDefault="005E6944" w:rsidP="005E6944">
      <w:pPr>
        <w:ind w:right="-347"/>
        <w:rPr>
          <w:rFonts w:ascii="Cambria" w:hAnsi="Cambria"/>
        </w:rPr>
      </w:pPr>
      <w:r w:rsidRPr="00DD558B">
        <w:rPr>
          <w:rFonts w:ascii="Cambria" w:hAnsi="Cambria"/>
        </w:rPr>
        <w:t>Department of Justice</w:t>
      </w:r>
    </w:p>
    <w:p w:rsidR="005E6944" w:rsidRPr="00DD558B" w:rsidRDefault="005E6944" w:rsidP="005E6944">
      <w:pPr>
        <w:ind w:right="-347"/>
        <w:rPr>
          <w:rFonts w:ascii="Cambria" w:hAnsi="Cambria"/>
        </w:rPr>
      </w:pPr>
      <w:r w:rsidRPr="00DD558B">
        <w:rPr>
          <w:rFonts w:ascii="Cambria" w:hAnsi="Cambria"/>
        </w:rPr>
        <w:t>Office of the Secretary</w:t>
      </w:r>
    </w:p>
    <w:p w:rsidR="005E6944" w:rsidRPr="00DD558B" w:rsidRDefault="005E6944" w:rsidP="005E6944">
      <w:pPr>
        <w:ind w:right="-347"/>
        <w:rPr>
          <w:rFonts w:ascii="Cambria" w:hAnsi="Cambria"/>
        </w:rPr>
      </w:pPr>
      <w:r w:rsidRPr="00DD558B">
        <w:rPr>
          <w:rFonts w:ascii="Cambria" w:hAnsi="Cambria"/>
        </w:rPr>
        <w:t xml:space="preserve">GPO Box 825 </w:t>
      </w:r>
    </w:p>
    <w:p w:rsidR="005E6944" w:rsidRPr="00DD558B" w:rsidRDefault="005E6944" w:rsidP="005E6944">
      <w:pPr>
        <w:ind w:right="-347"/>
        <w:rPr>
          <w:rFonts w:ascii="Cambria" w:hAnsi="Cambria"/>
        </w:rPr>
      </w:pPr>
      <w:r w:rsidRPr="00DD558B">
        <w:rPr>
          <w:rFonts w:ascii="Cambria" w:hAnsi="Cambria"/>
        </w:rPr>
        <w:t>Hobart TAS 7001</w:t>
      </w:r>
    </w:p>
    <w:p w:rsidR="005E6944" w:rsidRPr="00DD558B" w:rsidRDefault="005E6944" w:rsidP="005E6944">
      <w:pPr>
        <w:ind w:right="-347"/>
        <w:rPr>
          <w:rFonts w:ascii="Cambria" w:hAnsi="Cambria"/>
        </w:rPr>
      </w:pPr>
      <w:proofErr w:type="spellStart"/>
      <w:r w:rsidRPr="00DD558B">
        <w:rPr>
          <w:rFonts w:ascii="Cambria" w:hAnsi="Cambria"/>
        </w:rPr>
        <w:t>attn:</w:t>
      </w:r>
      <w:proofErr w:type="spellEnd"/>
      <w:r w:rsidRPr="00DD558B">
        <w:rPr>
          <w:rFonts w:ascii="Cambria" w:hAnsi="Cambria"/>
        </w:rPr>
        <w:t xml:space="preserve"> Secretary</w:t>
      </w:r>
    </w:p>
    <w:p w:rsidR="005E6944" w:rsidRPr="00DD558B" w:rsidRDefault="005E6944" w:rsidP="005E6944">
      <w:pPr>
        <w:ind w:right="-347"/>
        <w:rPr>
          <w:rFonts w:ascii="Cambria" w:hAnsi="Cambria"/>
        </w:rPr>
      </w:pPr>
    </w:p>
    <w:p w:rsidR="005E6944" w:rsidRPr="00DD558B" w:rsidRDefault="005E6944" w:rsidP="005E6944">
      <w:pPr>
        <w:ind w:left="2160" w:right="-347"/>
        <w:rPr>
          <w:rFonts w:ascii="Cambria" w:hAnsi="Cambria"/>
          <w:i/>
          <w:iCs/>
        </w:rPr>
      </w:pPr>
      <w:r w:rsidRPr="00DD558B">
        <w:rPr>
          <w:rFonts w:ascii="Cambria" w:hAnsi="Cambria"/>
          <w:b/>
          <w:bCs/>
          <w:i/>
          <w:iCs/>
        </w:rPr>
        <w:t>via email</w:t>
      </w:r>
      <w:r w:rsidRPr="00DD558B">
        <w:rPr>
          <w:rFonts w:ascii="Cambria" w:hAnsi="Cambria"/>
          <w:i/>
          <w:iCs/>
        </w:rPr>
        <w:t xml:space="preserve">: </w:t>
      </w:r>
      <w:hyperlink r:id="rId8" w:history="1">
        <w:r w:rsidRPr="00DD558B">
          <w:rPr>
            <w:rStyle w:val="Hyperlink"/>
            <w:rFonts w:ascii="Cambria" w:hAnsi="Cambria"/>
            <w:i/>
            <w:iCs/>
          </w:rPr>
          <w:t>haveyoursay@justice.tas.gov.au</w:t>
        </w:r>
      </w:hyperlink>
      <w:r w:rsidRPr="00DD558B">
        <w:rPr>
          <w:rFonts w:ascii="Cambria" w:hAnsi="Cambria"/>
          <w:i/>
          <w:iCs/>
        </w:rPr>
        <w:t xml:space="preserve"> </w:t>
      </w:r>
    </w:p>
    <w:p w:rsidR="005E6944" w:rsidRPr="00AA1E9C" w:rsidRDefault="005E6944" w:rsidP="005E6944">
      <w:pPr>
        <w:ind w:right="-347"/>
        <w:rPr>
          <w:rFonts w:ascii="Cambria" w:hAnsi="Cambria"/>
          <w:color w:val="000000" w:themeColor="text1"/>
        </w:rPr>
      </w:pPr>
    </w:p>
    <w:p w:rsidR="005E6944" w:rsidRPr="00AA1E9C" w:rsidRDefault="005E6944" w:rsidP="005E6944">
      <w:pPr>
        <w:ind w:right="-347"/>
        <w:rPr>
          <w:rFonts w:ascii="Cambria" w:hAnsi="Cambria"/>
          <w:color w:val="000000" w:themeColor="text1"/>
        </w:rPr>
      </w:pPr>
      <w:r w:rsidRPr="00AA1E9C">
        <w:rPr>
          <w:rFonts w:ascii="Cambria" w:hAnsi="Cambria"/>
          <w:color w:val="000000" w:themeColor="text1"/>
        </w:rPr>
        <w:t>To the Department of Justice,</w:t>
      </w:r>
    </w:p>
    <w:p w:rsidR="005E6944" w:rsidRPr="00AA1E9C" w:rsidRDefault="005E6944" w:rsidP="005E6944">
      <w:pPr>
        <w:pBdr>
          <w:bottom w:val="single" w:sz="6" w:space="1" w:color="auto"/>
        </w:pBdr>
        <w:ind w:right="-347"/>
        <w:rPr>
          <w:rFonts w:ascii="Cambria" w:hAnsi="Cambria" w:cs="Arial"/>
          <w:color w:val="000000" w:themeColor="text1"/>
        </w:rPr>
      </w:pPr>
      <w:r w:rsidRPr="00AA1E9C">
        <w:rPr>
          <w:rFonts w:ascii="Cambria" w:hAnsi="Cambria"/>
          <w:b/>
          <w:color w:val="000000" w:themeColor="text1"/>
        </w:rPr>
        <w:t xml:space="preserve">Re: </w:t>
      </w:r>
      <w:r w:rsidRPr="00AA1E9C">
        <w:rPr>
          <w:rFonts w:ascii="Cambria" w:hAnsi="Cambria"/>
          <w:b/>
          <w:i/>
          <w:color w:val="000000" w:themeColor="text1"/>
        </w:rPr>
        <w:t>Justice Miscellaneous (Commission of Inquiry) Bill 2024</w:t>
      </w:r>
    </w:p>
    <w:p w:rsidR="005E6944" w:rsidRPr="00AA1E9C" w:rsidRDefault="005E6944" w:rsidP="005E6944">
      <w:pPr>
        <w:ind w:right="-347"/>
        <w:jc w:val="both"/>
        <w:rPr>
          <w:rFonts w:ascii="Cambria" w:hAnsi="Cambria" w:cs="Calibri"/>
          <w:color w:val="000000" w:themeColor="text1"/>
        </w:rPr>
      </w:pPr>
    </w:p>
    <w:p w:rsidR="001A15CE" w:rsidRPr="00AA1E9C" w:rsidRDefault="005E6944" w:rsidP="001A15CE">
      <w:pPr>
        <w:ind w:right="-347"/>
        <w:jc w:val="both"/>
        <w:rPr>
          <w:rFonts w:ascii="Cambria" w:hAnsi="Cambria"/>
          <w:bCs/>
          <w:color w:val="000000" w:themeColor="text1"/>
        </w:rPr>
      </w:pPr>
      <w:r w:rsidRPr="00AA1E9C">
        <w:rPr>
          <w:rFonts w:ascii="Cambria" w:hAnsi="Cambria" w:cs="Calibri"/>
          <w:color w:val="000000" w:themeColor="text1"/>
        </w:rPr>
        <w:t>Community Legal Centres Tasmania (CLC Tas)</w:t>
      </w:r>
      <w:r w:rsidRPr="00AA1E9C">
        <w:rPr>
          <w:rFonts w:ascii="Cambria" w:hAnsi="Cambria"/>
          <w:color w:val="000000" w:themeColor="text1"/>
        </w:rPr>
        <w:t xml:space="preserve"> welcomes the opportunity to provide comment on the </w:t>
      </w:r>
      <w:r w:rsidRPr="00AA1E9C">
        <w:rPr>
          <w:rFonts w:ascii="Cambria" w:hAnsi="Cambria"/>
          <w:bCs/>
          <w:i/>
          <w:iCs/>
          <w:color w:val="000000" w:themeColor="text1"/>
        </w:rPr>
        <w:t>Justice Miscellaneous (Commission of Inquiry) Bill 2024</w:t>
      </w:r>
      <w:r w:rsidRPr="00AA1E9C">
        <w:rPr>
          <w:rFonts w:ascii="Cambria" w:hAnsi="Cambria"/>
          <w:bCs/>
          <w:color w:val="000000" w:themeColor="text1"/>
        </w:rPr>
        <w:t xml:space="preserve"> (‘the Bill’)</w:t>
      </w:r>
      <w:r w:rsidR="00170139" w:rsidRPr="00AA1E9C">
        <w:rPr>
          <w:rFonts w:ascii="Cambria" w:hAnsi="Cambria"/>
          <w:bCs/>
          <w:color w:val="000000" w:themeColor="text1"/>
        </w:rPr>
        <w:t xml:space="preserve"> which will amend a number of Acts including </w:t>
      </w:r>
      <w:r w:rsidR="00170139" w:rsidRPr="00AA1E9C">
        <w:rPr>
          <w:rFonts w:ascii="Cambria" w:hAnsi="Cambria"/>
          <w:color w:val="000000" w:themeColor="text1"/>
        </w:rPr>
        <w:t xml:space="preserve">the </w:t>
      </w:r>
      <w:r w:rsidR="00170139" w:rsidRPr="00AA1E9C">
        <w:rPr>
          <w:rFonts w:ascii="Cambria" w:hAnsi="Cambria"/>
          <w:i/>
          <w:iCs/>
          <w:color w:val="000000" w:themeColor="text1"/>
        </w:rPr>
        <w:t>Police Offences Act 1935</w:t>
      </w:r>
      <w:r w:rsidR="00170139" w:rsidRPr="00AA1E9C">
        <w:rPr>
          <w:rFonts w:ascii="Cambria" w:hAnsi="Cambria"/>
          <w:color w:val="000000" w:themeColor="text1"/>
        </w:rPr>
        <w:t xml:space="preserve"> (Tas), the </w:t>
      </w:r>
      <w:r w:rsidR="00170139" w:rsidRPr="00AA1E9C">
        <w:rPr>
          <w:rFonts w:ascii="Cambria" w:hAnsi="Cambria"/>
          <w:i/>
          <w:iCs/>
          <w:color w:val="000000" w:themeColor="text1"/>
        </w:rPr>
        <w:t xml:space="preserve">Criminal Code </w:t>
      </w:r>
      <w:r w:rsidR="00170139" w:rsidRPr="00AA1E9C">
        <w:rPr>
          <w:rFonts w:ascii="Cambria" w:hAnsi="Cambria"/>
          <w:i/>
          <w:iCs/>
          <w:color w:val="000000" w:themeColor="text1"/>
        </w:rPr>
        <w:t xml:space="preserve">Act </w:t>
      </w:r>
      <w:r w:rsidR="00170139" w:rsidRPr="00AA1E9C">
        <w:rPr>
          <w:rFonts w:ascii="Cambria" w:hAnsi="Cambria"/>
          <w:i/>
          <w:iCs/>
          <w:color w:val="000000" w:themeColor="text1"/>
        </w:rPr>
        <w:t>1924</w:t>
      </w:r>
      <w:r w:rsidR="00170139" w:rsidRPr="00AA1E9C">
        <w:rPr>
          <w:rFonts w:ascii="Cambria" w:hAnsi="Cambria"/>
          <w:color w:val="000000" w:themeColor="text1"/>
        </w:rPr>
        <w:t xml:space="preserve"> (Tas) and the </w:t>
      </w:r>
      <w:r w:rsidR="00170139" w:rsidRPr="00AA1E9C">
        <w:rPr>
          <w:rFonts w:ascii="Cambria" w:hAnsi="Cambria"/>
          <w:i/>
          <w:iCs/>
          <w:color w:val="000000" w:themeColor="text1"/>
        </w:rPr>
        <w:t>Sentencing Act 1997</w:t>
      </w:r>
      <w:r w:rsidR="00170139" w:rsidRPr="00AA1E9C">
        <w:rPr>
          <w:rFonts w:ascii="Cambria" w:hAnsi="Cambria"/>
          <w:color w:val="000000" w:themeColor="text1"/>
        </w:rPr>
        <w:t xml:space="preserve"> (Tas)</w:t>
      </w:r>
      <w:r w:rsidRPr="00AA1E9C">
        <w:rPr>
          <w:rFonts w:ascii="Cambria" w:hAnsi="Cambria"/>
          <w:bCs/>
          <w:color w:val="000000" w:themeColor="text1"/>
        </w:rPr>
        <w:t>.</w:t>
      </w:r>
      <w:r w:rsidRPr="00AA1E9C">
        <w:rPr>
          <w:rStyle w:val="FootnoteReference"/>
          <w:rFonts w:ascii="Cambria" w:hAnsi="Cambria"/>
          <w:bCs/>
          <w:color w:val="000000" w:themeColor="text1"/>
        </w:rPr>
        <w:footnoteReference w:id="1"/>
      </w:r>
      <w:r w:rsidRPr="00AA1E9C">
        <w:rPr>
          <w:rFonts w:ascii="Cambria" w:hAnsi="Cambria"/>
          <w:bCs/>
          <w:color w:val="000000" w:themeColor="text1"/>
        </w:rPr>
        <w:t xml:space="preserve"> We </w:t>
      </w:r>
      <w:r w:rsidR="00170139" w:rsidRPr="00AA1E9C">
        <w:rPr>
          <w:rFonts w:ascii="Cambria" w:hAnsi="Cambria"/>
          <w:bCs/>
          <w:color w:val="000000" w:themeColor="text1"/>
        </w:rPr>
        <w:t>acknowledge</w:t>
      </w:r>
      <w:r w:rsidRPr="00AA1E9C">
        <w:rPr>
          <w:rFonts w:ascii="Cambria" w:hAnsi="Cambria"/>
          <w:bCs/>
          <w:color w:val="000000" w:themeColor="text1"/>
        </w:rPr>
        <w:t xml:space="preserve"> the Government’s commitment to</w:t>
      </w:r>
      <w:r w:rsidR="007C350C" w:rsidRPr="00AA1E9C">
        <w:rPr>
          <w:rFonts w:ascii="Cambria" w:hAnsi="Cambria"/>
          <w:bCs/>
          <w:color w:val="000000" w:themeColor="text1"/>
        </w:rPr>
        <w:t xml:space="preserve"> </w:t>
      </w:r>
      <w:r w:rsidR="00AF7F6B" w:rsidRPr="00AA1E9C">
        <w:rPr>
          <w:rFonts w:ascii="Cambria" w:hAnsi="Cambria"/>
          <w:bCs/>
          <w:color w:val="000000" w:themeColor="text1"/>
        </w:rPr>
        <w:t>better protect children, improve the law’s response to victim-survivors of child sexual abuse and hold offenders to account</w:t>
      </w:r>
      <w:r w:rsidRPr="00AA1E9C">
        <w:rPr>
          <w:rFonts w:ascii="Cambria" w:hAnsi="Cambria"/>
          <w:bCs/>
          <w:color w:val="000000" w:themeColor="text1"/>
        </w:rPr>
        <w:t xml:space="preserve">.  </w:t>
      </w:r>
    </w:p>
    <w:p w:rsidR="001A15CE" w:rsidRPr="00AA1E9C" w:rsidRDefault="001A15CE" w:rsidP="001A15CE">
      <w:pPr>
        <w:ind w:right="-347"/>
        <w:jc w:val="both"/>
        <w:rPr>
          <w:rFonts w:ascii="Cambria" w:hAnsi="Cambria"/>
          <w:bCs/>
          <w:color w:val="000000" w:themeColor="text1"/>
        </w:rPr>
      </w:pPr>
    </w:p>
    <w:p w:rsidR="006D41ED" w:rsidRPr="00AA1E9C" w:rsidRDefault="005E6944" w:rsidP="001A15CE">
      <w:pPr>
        <w:ind w:right="-347"/>
        <w:jc w:val="both"/>
        <w:rPr>
          <w:rFonts w:ascii="Cambria" w:hAnsi="Cambria" w:cs="Arial"/>
          <w:color w:val="000000" w:themeColor="text1"/>
        </w:rPr>
      </w:pPr>
      <w:r w:rsidRPr="00AA1E9C">
        <w:rPr>
          <w:rFonts w:ascii="Cambria" w:hAnsi="Cambria" w:cs="Arial"/>
          <w:color w:val="000000" w:themeColor="text1"/>
          <w:lang w:eastAsia="en-AU"/>
        </w:rPr>
        <w:t xml:space="preserve">CLC Tas </w:t>
      </w:r>
      <w:r w:rsidRPr="00AA1E9C">
        <w:rPr>
          <w:rFonts w:ascii="Cambria" w:hAnsi="Cambria" w:cs="Arial"/>
          <w:color w:val="000000" w:themeColor="text1"/>
        </w:rPr>
        <w:t>is the peak body representing the interests of nine community legal centres (CLCs) located throughout Tasmania. We are a member-based, independent, not-for-profit and incorporated organisation that advocates for law reform on a range of public interest matters aimed at improving access to justice, reducing discrimination and protecting and promoting human rights.</w:t>
      </w:r>
    </w:p>
    <w:p w:rsidR="00D26EDE" w:rsidRPr="00AA1E9C" w:rsidRDefault="00D26EDE" w:rsidP="001A15CE">
      <w:pPr>
        <w:ind w:right="-347"/>
        <w:jc w:val="both"/>
        <w:rPr>
          <w:rFonts w:ascii="Cambria" w:hAnsi="Cambria" w:cs="Arial"/>
          <w:color w:val="000000" w:themeColor="text1"/>
        </w:rPr>
      </w:pPr>
    </w:p>
    <w:p w:rsidR="00D26EDE" w:rsidRPr="00AA1E9C" w:rsidRDefault="00D26EDE" w:rsidP="006F192B">
      <w:pPr>
        <w:pStyle w:val="ListParagraph"/>
        <w:numPr>
          <w:ilvl w:val="0"/>
          <w:numId w:val="5"/>
        </w:numPr>
        <w:ind w:right="-347"/>
        <w:jc w:val="both"/>
        <w:rPr>
          <w:rFonts w:ascii="Cambria" w:hAnsi="Cambria" w:cs="Arial"/>
          <w:b/>
          <w:bCs/>
          <w:i/>
          <w:iCs/>
          <w:color w:val="000000" w:themeColor="text1"/>
        </w:rPr>
      </w:pPr>
      <w:r w:rsidRPr="00AA1E9C">
        <w:rPr>
          <w:rFonts w:ascii="Cambria" w:hAnsi="Cambria" w:cs="Arial"/>
          <w:b/>
          <w:bCs/>
          <w:i/>
          <w:iCs/>
          <w:color w:val="000000" w:themeColor="text1"/>
        </w:rPr>
        <w:t>Apolog</w:t>
      </w:r>
      <w:r w:rsidR="007C350C" w:rsidRPr="00AA1E9C">
        <w:rPr>
          <w:rFonts w:ascii="Cambria" w:hAnsi="Cambria" w:cs="Arial"/>
          <w:b/>
          <w:bCs/>
          <w:i/>
          <w:iCs/>
          <w:color w:val="000000" w:themeColor="text1"/>
        </w:rPr>
        <w:t>ies for institutional child sexual abuse</w:t>
      </w:r>
    </w:p>
    <w:p w:rsidR="007C350C" w:rsidRPr="00AA1E9C" w:rsidRDefault="000240FD" w:rsidP="0013125D">
      <w:pPr>
        <w:ind w:right="-347"/>
        <w:jc w:val="both"/>
        <w:rPr>
          <w:rFonts w:ascii="Cambria" w:hAnsi="Cambria" w:cs="Arial"/>
          <w:color w:val="000000" w:themeColor="text1"/>
        </w:rPr>
      </w:pPr>
      <w:r w:rsidRPr="00AA1E9C">
        <w:rPr>
          <w:rFonts w:ascii="Cambria" w:hAnsi="Cambria" w:cs="Arial"/>
          <w:color w:val="000000" w:themeColor="text1"/>
        </w:rPr>
        <w:t xml:space="preserve">Tasmania’s Commission of Inquiry </w:t>
      </w:r>
      <w:r w:rsidR="00DD558B" w:rsidRPr="00AA1E9C">
        <w:rPr>
          <w:rFonts w:ascii="Cambria" w:hAnsi="Cambria" w:cs="Arial"/>
          <w:color w:val="000000" w:themeColor="text1"/>
        </w:rPr>
        <w:t>(‘the Commission</w:t>
      </w:r>
      <w:r w:rsidR="00530832" w:rsidRPr="00AA1E9C">
        <w:rPr>
          <w:rFonts w:ascii="Cambria" w:hAnsi="Cambria" w:cs="Arial"/>
          <w:color w:val="000000" w:themeColor="text1"/>
        </w:rPr>
        <w:t xml:space="preserve"> of Inquiry</w:t>
      </w:r>
      <w:r w:rsidR="00DD558B" w:rsidRPr="00AA1E9C">
        <w:rPr>
          <w:rFonts w:ascii="Cambria" w:hAnsi="Cambria" w:cs="Arial"/>
          <w:color w:val="000000" w:themeColor="text1"/>
        </w:rPr>
        <w:t xml:space="preserve">’) </w:t>
      </w:r>
      <w:r w:rsidRPr="00AA1E9C">
        <w:rPr>
          <w:rFonts w:ascii="Cambria" w:hAnsi="Cambria" w:cs="Arial"/>
          <w:color w:val="000000" w:themeColor="text1"/>
        </w:rPr>
        <w:t>reported that many victim-survivors who shared their experiences wanted an apology or recognition of the harm suffered.</w:t>
      </w:r>
      <w:r w:rsidRPr="00AA1E9C">
        <w:rPr>
          <w:rStyle w:val="FootnoteReference"/>
          <w:rFonts w:ascii="Cambria" w:hAnsi="Cambria" w:cs="Arial"/>
          <w:color w:val="000000" w:themeColor="text1"/>
        </w:rPr>
        <w:footnoteReference w:id="2"/>
      </w:r>
      <w:r w:rsidR="007C350C" w:rsidRPr="00AA1E9C">
        <w:rPr>
          <w:rFonts w:ascii="Cambria" w:hAnsi="Cambria" w:cs="Arial"/>
          <w:color w:val="000000" w:themeColor="text1"/>
        </w:rPr>
        <w:t xml:space="preserve"> </w:t>
      </w:r>
      <w:r w:rsidR="00A70FA2" w:rsidRPr="00AA1E9C">
        <w:rPr>
          <w:rFonts w:ascii="Cambria" w:hAnsi="Cambria"/>
          <w:color w:val="000000" w:themeColor="text1"/>
          <w:shd w:val="clear" w:color="auto" w:fill="FFFFFF"/>
        </w:rPr>
        <w:t xml:space="preserve">Whilst many </w:t>
      </w:r>
      <w:r w:rsidR="00170139" w:rsidRPr="00AA1E9C">
        <w:rPr>
          <w:rFonts w:ascii="Cambria" w:hAnsi="Cambria"/>
          <w:color w:val="000000" w:themeColor="text1"/>
          <w:shd w:val="clear" w:color="auto" w:fill="FFFFFF"/>
        </w:rPr>
        <w:t xml:space="preserve">institutions </w:t>
      </w:r>
      <w:r w:rsidR="00A70FA2" w:rsidRPr="00AA1E9C">
        <w:rPr>
          <w:rFonts w:ascii="Cambria" w:hAnsi="Cambria"/>
          <w:color w:val="000000" w:themeColor="text1"/>
          <w:shd w:val="clear" w:color="auto" w:fill="FFFFFF"/>
        </w:rPr>
        <w:t>may want to apologise</w:t>
      </w:r>
      <w:r w:rsidR="00170139" w:rsidRPr="00AA1E9C">
        <w:rPr>
          <w:rFonts w:ascii="Cambria" w:hAnsi="Cambria"/>
          <w:color w:val="000000" w:themeColor="text1"/>
          <w:shd w:val="clear" w:color="auto" w:fill="FFFFFF"/>
        </w:rPr>
        <w:t xml:space="preserve"> for past child sex abuse</w:t>
      </w:r>
      <w:r w:rsidR="00A70FA2" w:rsidRPr="00AA1E9C">
        <w:rPr>
          <w:rFonts w:ascii="Cambria" w:hAnsi="Cambria"/>
          <w:color w:val="000000" w:themeColor="text1"/>
          <w:shd w:val="clear" w:color="auto" w:fill="FFFFFF"/>
        </w:rPr>
        <w:t xml:space="preserve">, the fear </w:t>
      </w:r>
      <w:r w:rsidR="00A70FA2" w:rsidRPr="00AA1E9C">
        <w:rPr>
          <w:rFonts w:ascii="Cambria" w:hAnsi="Cambria"/>
          <w:color w:val="000000" w:themeColor="text1"/>
          <w:shd w:val="clear" w:color="auto" w:fill="FFFFFF"/>
        </w:rPr>
        <w:t>that</w:t>
      </w:r>
      <w:r w:rsidR="00A70FA2" w:rsidRPr="00AA1E9C">
        <w:rPr>
          <w:rFonts w:ascii="Cambria" w:hAnsi="Cambria"/>
          <w:color w:val="000000" w:themeColor="text1"/>
          <w:shd w:val="clear" w:color="auto" w:fill="FFFFFF"/>
        </w:rPr>
        <w:t xml:space="preserve"> </w:t>
      </w:r>
      <w:r w:rsidR="00170139" w:rsidRPr="00AA1E9C">
        <w:rPr>
          <w:rFonts w:ascii="Cambria" w:hAnsi="Cambria"/>
          <w:color w:val="000000" w:themeColor="text1"/>
          <w:shd w:val="clear" w:color="auto" w:fill="FFFFFF"/>
        </w:rPr>
        <w:t>it</w:t>
      </w:r>
      <w:r w:rsidR="00A70FA2" w:rsidRPr="00AA1E9C">
        <w:rPr>
          <w:rFonts w:ascii="Cambria" w:hAnsi="Cambria"/>
          <w:color w:val="000000" w:themeColor="text1"/>
          <w:shd w:val="clear" w:color="auto" w:fill="FFFFFF"/>
        </w:rPr>
        <w:t xml:space="preserve"> </w:t>
      </w:r>
      <w:r w:rsidR="00A70FA2" w:rsidRPr="00AA1E9C">
        <w:rPr>
          <w:rFonts w:ascii="Cambria" w:hAnsi="Cambria"/>
          <w:color w:val="000000" w:themeColor="text1"/>
          <w:shd w:val="clear" w:color="auto" w:fill="FFFFFF"/>
        </w:rPr>
        <w:t>may be</w:t>
      </w:r>
      <w:r w:rsidR="00A70FA2" w:rsidRPr="00AA1E9C">
        <w:rPr>
          <w:rFonts w:ascii="Cambria" w:hAnsi="Cambria"/>
          <w:color w:val="000000" w:themeColor="text1"/>
          <w:shd w:val="clear" w:color="auto" w:fill="FFFFFF"/>
        </w:rPr>
        <w:t xml:space="preserve"> used against them in</w:t>
      </w:r>
      <w:r w:rsidR="00A70FA2" w:rsidRPr="00AA1E9C">
        <w:rPr>
          <w:rFonts w:ascii="Cambria" w:hAnsi="Cambria"/>
          <w:color w:val="000000" w:themeColor="text1"/>
          <w:shd w:val="clear" w:color="auto" w:fill="FFFFFF"/>
        </w:rPr>
        <w:t xml:space="preserve"> </w:t>
      </w:r>
      <w:r w:rsidR="00A70FA2" w:rsidRPr="00AA1E9C">
        <w:rPr>
          <w:rFonts w:ascii="Cambria" w:hAnsi="Cambria"/>
          <w:color w:val="000000" w:themeColor="text1"/>
          <w:shd w:val="clear" w:color="auto" w:fill="FFFFFF"/>
        </w:rPr>
        <w:t>court proceedings means that many may be reluctant.</w:t>
      </w:r>
      <w:r w:rsidR="00A70FA2" w:rsidRPr="00AA1E9C">
        <w:rPr>
          <w:rFonts w:ascii="Cambria" w:hAnsi="Cambria"/>
          <w:color w:val="000000" w:themeColor="text1"/>
          <w:shd w:val="clear" w:color="auto" w:fill="FFFFFF"/>
        </w:rPr>
        <w:t xml:space="preserve"> </w:t>
      </w:r>
      <w:r w:rsidR="00170139" w:rsidRPr="00AA1E9C">
        <w:rPr>
          <w:rFonts w:ascii="Cambria" w:hAnsi="Cambria" w:cs="Arial"/>
          <w:color w:val="000000" w:themeColor="text1"/>
        </w:rPr>
        <w:t>As a result, t</w:t>
      </w:r>
      <w:r w:rsidR="007C350C" w:rsidRPr="00AA1E9C">
        <w:rPr>
          <w:rFonts w:ascii="Cambria" w:hAnsi="Cambria" w:cs="Arial"/>
          <w:color w:val="000000" w:themeColor="text1"/>
        </w:rPr>
        <w:t xml:space="preserve">he Commission </w:t>
      </w:r>
      <w:r w:rsidR="00530832" w:rsidRPr="00AA1E9C">
        <w:rPr>
          <w:rFonts w:ascii="Cambria" w:hAnsi="Cambria" w:cs="Arial"/>
          <w:color w:val="000000" w:themeColor="text1"/>
        </w:rPr>
        <w:t xml:space="preserve">of Inquiry </w:t>
      </w:r>
      <w:r w:rsidR="007C350C" w:rsidRPr="00AA1E9C">
        <w:rPr>
          <w:rFonts w:ascii="Cambria" w:hAnsi="Cambria" w:cs="Arial"/>
          <w:color w:val="000000" w:themeColor="text1"/>
        </w:rPr>
        <w:t xml:space="preserve">recommended that institutions </w:t>
      </w:r>
      <w:r w:rsidR="00170139" w:rsidRPr="00AA1E9C">
        <w:rPr>
          <w:rFonts w:ascii="Cambria" w:hAnsi="Cambria" w:cs="Arial"/>
          <w:color w:val="000000" w:themeColor="text1"/>
        </w:rPr>
        <w:t xml:space="preserve">be able to </w:t>
      </w:r>
      <w:r w:rsidR="007C350C" w:rsidRPr="00AA1E9C">
        <w:rPr>
          <w:rFonts w:ascii="Cambria" w:hAnsi="Cambria" w:cs="Arial"/>
          <w:color w:val="000000" w:themeColor="text1"/>
        </w:rPr>
        <w:t>offer</w:t>
      </w:r>
      <w:r w:rsidR="00A70FA2" w:rsidRPr="00AA1E9C">
        <w:rPr>
          <w:rFonts w:ascii="Cambria" w:hAnsi="Cambria" w:cs="Arial"/>
          <w:color w:val="000000" w:themeColor="text1"/>
        </w:rPr>
        <w:t xml:space="preserve"> </w:t>
      </w:r>
      <w:r w:rsidR="007C350C" w:rsidRPr="00AA1E9C">
        <w:rPr>
          <w:rFonts w:ascii="Cambria" w:hAnsi="Cambria" w:cs="Arial"/>
          <w:color w:val="000000" w:themeColor="text1"/>
        </w:rPr>
        <w:t>apologies</w:t>
      </w:r>
      <w:r w:rsidR="00A70FA2" w:rsidRPr="00AA1E9C">
        <w:rPr>
          <w:rFonts w:ascii="Cambria" w:hAnsi="Cambria" w:cs="Arial"/>
          <w:color w:val="000000" w:themeColor="text1"/>
        </w:rPr>
        <w:t xml:space="preserve"> without it being able to amount an admission of liability</w:t>
      </w:r>
      <w:r w:rsidR="007C350C" w:rsidRPr="00AA1E9C">
        <w:rPr>
          <w:rFonts w:ascii="Cambria" w:hAnsi="Cambria" w:cs="Arial"/>
          <w:color w:val="000000" w:themeColor="text1"/>
        </w:rPr>
        <w:t>.</w:t>
      </w:r>
      <w:r w:rsidR="00170139" w:rsidRPr="00AA1E9C">
        <w:rPr>
          <w:rStyle w:val="FootnoteReference"/>
          <w:rFonts w:ascii="Cambria" w:hAnsi="Cambria" w:cs="Arial"/>
          <w:color w:val="000000" w:themeColor="text1"/>
        </w:rPr>
        <w:footnoteReference w:id="3"/>
      </w:r>
      <w:r w:rsidR="007C350C" w:rsidRPr="00AA1E9C">
        <w:rPr>
          <w:rFonts w:ascii="Cambria" w:hAnsi="Cambria" w:cs="Arial"/>
          <w:color w:val="000000" w:themeColor="text1"/>
        </w:rPr>
        <w:t xml:space="preserve">  </w:t>
      </w:r>
    </w:p>
    <w:p w:rsidR="007C350C" w:rsidRPr="00AA1E9C" w:rsidRDefault="007C350C" w:rsidP="0013125D">
      <w:pPr>
        <w:pStyle w:val="NoSpacing"/>
        <w:jc w:val="both"/>
        <w:rPr>
          <w:rFonts w:ascii="Cambria" w:hAnsi="Cambria"/>
          <w:color w:val="000000" w:themeColor="text1"/>
        </w:rPr>
      </w:pPr>
    </w:p>
    <w:p w:rsidR="00C4537A" w:rsidRPr="00AA1E9C" w:rsidRDefault="004F0732" w:rsidP="0013125D">
      <w:pPr>
        <w:pStyle w:val="NoSpacing"/>
        <w:jc w:val="both"/>
        <w:rPr>
          <w:rFonts w:ascii="Cambria" w:hAnsi="Cambria"/>
          <w:color w:val="000000" w:themeColor="text1"/>
        </w:rPr>
      </w:pPr>
      <w:r w:rsidRPr="00AA1E9C">
        <w:rPr>
          <w:rFonts w:ascii="Cambria" w:hAnsi="Cambria"/>
          <w:color w:val="000000" w:themeColor="text1"/>
        </w:rPr>
        <w:t xml:space="preserve">The amendments set out in </w:t>
      </w:r>
      <w:r w:rsidR="00887740" w:rsidRPr="00AA1E9C">
        <w:rPr>
          <w:rFonts w:ascii="Cambria" w:hAnsi="Cambria"/>
          <w:color w:val="000000" w:themeColor="text1"/>
        </w:rPr>
        <w:t xml:space="preserve">clause 5 of </w:t>
      </w:r>
      <w:r w:rsidRPr="00AA1E9C">
        <w:rPr>
          <w:rFonts w:ascii="Cambria" w:hAnsi="Cambria"/>
          <w:color w:val="000000" w:themeColor="text1"/>
        </w:rPr>
        <w:t xml:space="preserve">the Bill will ensure that apologies for institutional child sex abuse can be made without amounting to an admission of guilt. </w:t>
      </w:r>
      <w:r w:rsidR="000775E9" w:rsidRPr="00AA1E9C">
        <w:rPr>
          <w:rFonts w:ascii="Cambria" w:hAnsi="Cambria"/>
          <w:color w:val="000000" w:themeColor="text1"/>
        </w:rPr>
        <w:t>Relevantly, t</w:t>
      </w:r>
      <w:r w:rsidRPr="00AA1E9C">
        <w:rPr>
          <w:rFonts w:ascii="Cambria" w:hAnsi="Cambria"/>
          <w:color w:val="000000" w:themeColor="text1"/>
        </w:rPr>
        <w:t xml:space="preserve">he </w:t>
      </w:r>
      <w:r w:rsidRPr="00AA1E9C">
        <w:rPr>
          <w:rFonts w:ascii="Cambria" w:hAnsi="Cambria"/>
          <w:color w:val="000000" w:themeColor="text1"/>
        </w:rPr>
        <w:lastRenderedPageBreak/>
        <w:t>proposed amendments have already been adopted in e</w:t>
      </w:r>
      <w:r w:rsidR="007C350C" w:rsidRPr="00AA1E9C">
        <w:rPr>
          <w:rFonts w:ascii="Cambria" w:hAnsi="Cambria"/>
          <w:color w:val="000000" w:themeColor="text1"/>
        </w:rPr>
        <w:t>very jurisdiction in Australia except Tasmania and the Northern Territory.</w:t>
      </w:r>
      <w:r w:rsidR="007C350C" w:rsidRPr="00AA1E9C">
        <w:rPr>
          <w:rStyle w:val="FootnoteReference"/>
          <w:rFonts w:ascii="Cambria" w:hAnsi="Cambria"/>
          <w:color w:val="000000" w:themeColor="text1"/>
        </w:rPr>
        <w:footnoteReference w:id="4"/>
      </w:r>
      <w:r w:rsidRPr="00AA1E9C">
        <w:rPr>
          <w:rFonts w:ascii="Cambria" w:hAnsi="Cambria"/>
          <w:color w:val="000000" w:themeColor="text1"/>
        </w:rPr>
        <w:t xml:space="preserve"> </w:t>
      </w:r>
    </w:p>
    <w:p w:rsidR="00C4537A" w:rsidRPr="00AA1E9C" w:rsidRDefault="00C4537A" w:rsidP="0013125D">
      <w:pPr>
        <w:pStyle w:val="NoSpacing"/>
        <w:jc w:val="both"/>
        <w:rPr>
          <w:rFonts w:ascii="Cambria" w:hAnsi="Cambria"/>
          <w:color w:val="000000" w:themeColor="text1"/>
        </w:rPr>
      </w:pPr>
    </w:p>
    <w:p w:rsidR="00282637" w:rsidRPr="00AA1E9C" w:rsidRDefault="00170139" w:rsidP="0013125D">
      <w:pPr>
        <w:pStyle w:val="NoSpacing"/>
        <w:jc w:val="both"/>
        <w:rPr>
          <w:rFonts w:ascii="Cambria" w:hAnsi="Cambria"/>
          <w:color w:val="000000" w:themeColor="text1"/>
          <w:shd w:val="clear" w:color="auto" w:fill="FFFFFF"/>
        </w:rPr>
      </w:pPr>
      <w:r w:rsidRPr="00AA1E9C">
        <w:rPr>
          <w:rFonts w:ascii="Cambria" w:hAnsi="Cambria"/>
          <w:color w:val="000000" w:themeColor="text1"/>
        </w:rPr>
        <w:t>However</w:t>
      </w:r>
      <w:r w:rsidR="000775E9" w:rsidRPr="00AA1E9C">
        <w:rPr>
          <w:rFonts w:ascii="Cambria" w:hAnsi="Cambria"/>
          <w:color w:val="000000" w:themeColor="text1"/>
        </w:rPr>
        <w:t xml:space="preserve">, it is worth noting that </w:t>
      </w:r>
      <w:r w:rsidR="00386A7A" w:rsidRPr="00AA1E9C">
        <w:rPr>
          <w:rFonts w:ascii="Cambria" w:hAnsi="Cambria"/>
          <w:color w:val="000000" w:themeColor="text1"/>
        </w:rPr>
        <w:t xml:space="preserve">on a cursory glance, </w:t>
      </w:r>
      <w:r w:rsidR="000775E9" w:rsidRPr="00AA1E9C">
        <w:rPr>
          <w:rFonts w:ascii="Cambria" w:hAnsi="Cambria"/>
          <w:color w:val="000000" w:themeColor="text1"/>
        </w:rPr>
        <w:t xml:space="preserve">the </w:t>
      </w:r>
      <w:r w:rsidR="000775E9" w:rsidRPr="00AA1E9C">
        <w:rPr>
          <w:rFonts w:ascii="Cambria" w:hAnsi="Cambria"/>
          <w:i/>
          <w:iCs/>
          <w:color w:val="000000" w:themeColor="text1"/>
        </w:rPr>
        <w:t>Civil Liability Act 2002</w:t>
      </w:r>
      <w:r w:rsidR="000775E9" w:rsidRPr="00AA1E9C">
        <w:rPr>
          <w:rFonts w:ascii="Cambria" w:hAnsi="Cambria"/>
          <w:color w:val="000000" w:themeColor="text1"/>
        </w:rPr>
        <w:t xml:space="preserve"> (Tas)</w:t>
      </w:r>
      <w:r w:rsidR="00386A7A" w:rsidRPr="00AA1E9C">
        <w:rPr>
          <w:rFonts w:ascii="Cambria" w:hAnsi="Cambria"/>
          <w:color w:val="000000" w:themeColor="text1"/>
        </w:rPr>
        <w:t xml:space="preserve"> appears to exclude the State. </w:t>
      </w:r>
      <w:r w:rsidR="004F0732" w:rsidRPr="00AA1E9C">
        <w:rPr>
          <w:rFonts w:ascii="Cambria" w:hAnsi="Cambria"/>
          <w:color w:val="000000" w:themeColor="text1"/>
        </w:rPr>
        <w:t xml:space="preserve">This is because the Act expressly defines ‘organisation’ as </w:t>
      </w:r>
      <w:r w:rsidR="004F0732" w:rsidRPr="00AA1E9C">
        <w:rPr>
          <w:rFonts w:ascii="Cambria" w:hAnsi="Cambria"/>
          <w:i/>
          <w:iCs/>
          <w:color w:val="000000" w:themeColor="text1"/>
          <w:shd w:val="clear" w:color="auto" w:fill="FFFFFF"/>
        </w:rPr>
        <w:t>“</w:t>
      </w:r>
      <w:r w:rsidR="004F0732" w:rsidRPr="00AA1E9C">
        <w:rPr>
          <w:rFonts w:ascii="Cambria" w:hAnsi="Cambria"/>
          <w:color w:val="000000" w:themeColor="text1"/>
          <w:shd w:val="clear" w:color="auto" w:fill="FFFFFF"/>
        </w:rPr>
        <w:t>any organisation, whether incorporated or not, and includes a public sector body but does not include the State”.</w:t>
      </w:r>
      <w:r w:rsidR="004F0732" w:rsidRPr="00AA1E9C">
        <w:rPr>
          <w:rStyle w:val="FootnoteReference"/>
          <w:rFonts w:ascii="Cambria" w:hAnsi="Cambria"/>
          <w:color w:val="000000" w:themeColor="text1"/>
          <w:shd w:val="clear" w:color="auto" w:fill="FFFFFF"/>
        </w:rPr>
        <w:footnoteReference w:id="5"/>
      </w:r>
      <w:r w:rsidR="00F845E0" w:rsidRPr="00AA1E9C">
        <w:rPr>
          <w:rFonts w:ascii="Cambria" w:hAnsi="Cambria"/>
          <w:color w:val="000000" w:themeColor="text1"/>
          <w:shd w:val="clear" w:color="auto" w:fill="FFFFFF"/>
        </w:rPr>
        <w:t xml:space="preserve"> </w:t>
      </w:r>
      <w:r w:rsidR="00830DED" w:rsidRPr="00AA1E9C">
        <w:rPr>
          <w:rFonts w:ascii="Cambria" w:hAnsi="Cambria"/>
          <w:color w:val="000000" w:themeColor="text1"/>
          <w:shd w:val="clear" w:color="auto" w:fill="FFFFFF"/>
        </w:rPr>
        <w:t xml:space="preserve">A more </w:t>
      </w:r>
      <w:r w:rsidR="00F845E0" w:rsidRPr="00AA1E9C">
        <w:rPr>
          <w:rFonts w:ascii="Cambria" w:hAnsi="Cambria"/>
          <w:color w:val="000000" w:themeColor="text1"/>
          <w:shd w:val="clear" w:color="auto" w:fill="FFFFFF"/>
        </w:rPr>
        <w:t>careful</w:t>
      </w:r>
      <w:r w:rsidR="00830DED" w:rsidRPr="00AA1E9C">
        <w:rPr>
          <w:rFonts w:ascii="Cambria" w:hAnsi="Cambria"/>
          <w:color w:val="000000" w:themeColor="text1"/>
          <w:shd w:val="clear" w:color="auto" w:fill="FFFFFF"/>
        </w:rPr>
        <w:t xml:space="preserve"> </w:t>
      </w:r>
      <w:r w:rsidR="00F845E0" w:rsidRPr="00AA1E9C">
        <w:rPr>
          <w:rFonts w:ascii="Cambria" w:hAnsi="Cambria"/>
          <w:color w:val="000000" w:themeColor="text1"/>
          <w:shd w:val="clear" w:color="auto" w:fill="FFFFFF"/>
        </w:rPr>
        <w:t>review makes clear that government departments will be able to apologise.</w:t>
      </w:r>
      <w:r w:rsidR="00F845E0" w:rsidRPr="00AA1E9C">
        <w:rPr>
          <w:rStyle w:val="FootnoteReference"/>
          <w:rFonts w:ascii="Cambria" w:hAnsi="Cambria"/>
          <w:color w:val="000000" w:themeColor="text1"/>
          <w:shd w:val="clear" w:color="auto" w:fill="FFFFFF"/>
        </w:rPr>
        <w:footnoteReference w:id="6"/>
      </w:r>
      <w:r w:rsidR="00F845E0" w:rsidRPr="00AA1E9C">
        <w:rPr>
          <w:rFonts w:ascii="Cambria" w:hAnsi="Cambria"/>
          <w:color w:val="000000" w:themeColor="text1"/>
          <w:shd w:val="clear" w:color="auto" w:fill="FFFFFF"/>
        </w:rPr>
        <w:t xml:space="preserve"> </w:t>
      </w:r>
      <w:r w:rsidRPr="00AA1E9C">
        <w:rPr>
          <w:rFonts w:ascii="Cambria" w:hAnsi="Cambria"/>
          <w:color w:val="000000" w:themeColor="text1"/>
          <w:shd w:val="clear" w:color="auto" w:fill="FFFFFF"/>
        </w:rPr>
        <w:t>It</w:t>
      </w:r>
      <w:r w:rsidR="00F845E0" w:rsidRPr="00AA1E9C">
        <w:rPr>
          <w:rFonts w:ascii="Cambria" w:hAnsi="Cambria"/>
          <w:color w:val="000000" w:themeColor="text1"/>
          <w:shd w:val="clear" w:color="auto" w:fill="FFFFFF"/>
        </w:rPr>
        <w:t xml:space="preserve"> is </w:t>
      </w:r>
      <w:r w:rsidRPr="00AA1E9C">
        <w:rPr>
          <w:rFonts w:ascii="Cambria" w:hAnsi="Cambria"/>
          <w:color w:val="000000" w:themeColor="text1"/>
          <w:shd w:val="clear" w:color="auto" w:fill="FFFFFF"/>
        </w:rPr>
        <w:t xml:space="preserve">therefore </w:t>
      </w:r>
      <w:r w:rsidR="00F845E0" w:rsidRPr="00AA1E9C">
        <w:rPr>
          <w:rFonts w:ascii="Cambria" w:hAnsi="Cambria"/>
          <w:color w:val="000000" w:themeColor="text1"/>
          <w:shd w:val="clear" w:color="auto" w:fill="FFFFFF"/>
        </w:rPr>
        <w:t>recommended that the Government give some thought to amending the Act to make clear that the State will be able to issue apologies in institutional child sexual abuse cases or alternatively, an education campaign accompany the reforms.</w:t>
      </w:r>
    </w:p>
    <w:p w:rsidR="0013125D" w:rsidRPr="00AA1E9C" w:rsidRDefault="0013125D" w:rsidP="0013125D">
      <w:pPr>
        <w:pStyle w:val="NoSpacing"/>
        <w:jc w:val="both"/>
        <w:rPr>
          <w:rFonts w:ascii="Cambria" w:hAnsi="Cambria"/>
          <w:color w:val="000000" w:themeColor="text1"/>
          <w:shd w:val="clear" w:color="auto" w:fill="FFFFFF"/>
        </w:rPr>
      </w:pPr>
    </w:p>
    <w:p w:rsidR="0013125D" w:rsidRPr="00AA1E9C" w:rsidRDefault="0013125D" w:rsidP="0013125D">
      <w:pPr>
        <w:pStyle w:val="NoSpacing"/>
        <w:jc w:val="both"/>
        <w:rPr>
          <w:rFonts w:ascii="Cambria" w:hAnsi="Cambria"/>
          <w:color w:val="000000" w:themeColor="text1"/>
          <w:shd w:val="clear" w:color="auto" w:fill="FFFFFF"/>
        </w:rPr>
      </w:pPr>
      <w:r w:rsidRPr="00AA1E9C">
        <w:rPr>
          <w:rFonts w:ascii="Cambria" w:hAnsi="Cambria"/>
          <w:color w:val="000000" w:themeColor="text1"/>
          <w:shd w:val="clear" w:color="auto" w:fill="FFFFFF"/>
        </w:rPr>
        <w:t xml:space="preserve">We also believe that </w:t>
      </w:r>
      <w:r w:rsidR="00DD558B" w:rsidRPr="00AA1E9C">
        <w:rPr>
          <w:rFonts w:ascii="Cambria" w:hAnsi="Cambria"/>
          <w:color w:val="000000" w:themeColor="text1"/>
          <w:shd w:val="clear" w:color="auto" w:fill="FFFFFF"/>
        </w:rPr>
        <w:t xml:space="preserve">apologies should form part of a suite of policies adopted by </w:t>
      </w:r>
      <w:r w:rsidRPr="00AA1E9C">
        <w:rPr>
          <w:rFonts w:ascii="Cambria" w:hAnsi="Cambria"/>
          <w:color w:val="000000" w:themeColor="text1"/>
          <w:shd w:val="clear" w:color="auto" w:fill="FFFFFF"/>
        </w:rPr>
        <w:t xml:space="preserve">government departments to </w:t>
      </w:r>
      <w:r w:rsidR="00833A6A" w:rsidRPr="00AA1E9C">
        <w:rPr>
          <w:rFonts w:ascii="Cambria" w:hAnsi="Cambria"/>
          <w:color w:val="000000" w:themeColor="text1"/>
          <w:shd w:val="clear" w:color="auto" w:fill="FFFFFF"/>
        </w:rPr>
        <w:t>make civil litigation less traumatic for victims</w:t>
      </w:r>
      <w:r w:rsidR="00DD558B" w:rsidRPr="00AA1E9C">
        <w:rPr>
          <w:rFonts w:ascii="Cambria" w:hAnsi="Cambria"/>
          <w:color w:val="000000" w:themeColor="text1"/>
          <w:shd w:val="clear" w:color="auto" w:fill="FFFFFF"/>
        </w:rPr>
        <w:t>. We</w:t>
      </w:r>
      <w:r w:rsidR="00170139" w:rsidRPr="00AA1E9C">
        <w:rPr>
          <w:rFonts w:ascii="Cambria" w:hAnsi="Cambria"/>
          <w:color w:val="000000" w:themeColor="text1"/>
          <w:shd w:val="clear" w:color="auto" w:fill="FFFFFF"/>
        </w:rPr>
        <w:t xml:space="preserve"> </w:t>
      </w:r>
      <w:r w:rsidR="00DD558B" w:rsidRPr="00AA1E9C">
        <w:rPr>
          <w:rFonts w:ascii="Cambria" w:hAnsi="Cambria"/>
          <w:color w:val="000000" w:themeColor="text1"/>
          <w:shd w:val="clear" w:color="auto" w:fill="FFFFFF"/>
        </w:rPr>
        <w:t xml:space="preserve">recommend that </w:t>
      </w:r>
      <w:r w:rsidR="00833A6A" w:rsidRPr="00AA1E9C">
        <w:rPr>
          <w:rFonts w:ascii="Cambria" w:hAnsi="Cambria"/>
          <w:color w:val="000000" w:themeColor="text1"/>
          <w:shd w:val="clear" w:color="auto" w:fill="FFFFFF"/>
        </w:rPr>
        <w:t xml:space="preserve">whole-of-government guidelines </w:t>
      </w:r>
      <w:r w:rsidR="00DD558B" w:rsidRPr="00AA1E9C">
        <w:rPr>
          <w:rFonts w:ascii="Cambria" w:hAnsi="Cambria"/>
          <w:color w:val="000000" w:themeColor="text1"/>
          <w:shd w:val="clear" w:color="auto" w:fill="FFFFFF"/>
        </w:rPr>
        <w:t xml:space="preserve">are implemented </w:t>
      </w:r>
      <w:r w:rsidR="00833A6A" w:rsidRPr="00AA1E9C">
        <w:rPr>
          <w:rFonts w:ascii="Cambria" w:hAnsi="Cambria"/>
          <w:color w:val="000000" w:themeColor="text1"/>
          <w:shd w:val="clear" w:color="auto" w:fill="FFFFFF"/>
        </w:rPr>
        <w:t>when responding to civil litigation involving child abuse, as occurs in Queensland</w:t>
      </w:r>
      <w:r w:rsidRPr="00AA1E9C">
        <w:rPr>
          <w:rFonts w:ascii="Cambria" w:hAnsi="Cambria"/>
          <w:color w:val="000000" w:themeColor="text1"/>
          <w:shd w:val="clear" w:color="auto" w:fill="FFFFFF"/>
        </w:rPr>
        <w:t>.</w:t>
      </w:r>
      <w:r w:rsidRPr="00AA1E9C">
        <w:rPr>
          <w:rStyle w:val="FootnoteReference"/>
          <w:rFonts w:ascii="Cambria" w:hAnsi="Cambria"/>
          <w:color w:val="000000" w:themeColor="text1"/>
          <w:shd w:val="clear" w:color="auto" w:fill="FFFFFF"/>
        </w:rPr>
        <w:footnoteReference w:id="7"/>
      </w:r>
      <w:r w:rsidR="00833A6A" w:rsidRPr="00AA1E9C">
        <w:rPr>
          <w:rFonts w:ascii="Cambria" w:hAnsi="Cambria"/>
          <w:color w:val="000000" w:themeColor="text1"/>
          <w:shd w:val="clear" w:color="auto" w:fill="FFFFFF"/>
        </w:rPr>
        <w:t xml:space="preserve"> Whilst the making of apologies will form part of the response, adherence to the guidelines is likely to result in a </w:t>
      </w:r>
      <w:r w:rsidR="00DD558B" w:rsidRPr="00AA1E9C">
        <w:rPr>
          <w:rFonts w:ascii="Cambria" w:hAnsi="Cambria"/>
          <w:color w:val="000000" w:themeColor="text1"/>
          <w:shd w:val="clear" w:color="auto" w:fill="FFFFFF"/>
        </w:rPr>
        <w:t xml:space="preserve">more </w:t>
      </w:r>
      <w:r w:rsidR="00833A6A" w:rsidRPr="00AA1E9C">
        <w:rPr>
          <w:rFonts w:ascii="Cambria" w:hAnsi="Cambria"/>
          <w:color w:val="000000" w:themeColor="text1"/>
          <w:shd w:val="clear" w:color="auto" w:fill="FFFFFF"/>
        </w:rPr>
        <w:t>compassionate and consistent approach being adopted</w:t>
      </w:r>
      <w:r w:rsidR="00321148" w:rsidRPr="00AA1E9C">
        <w:rPr>
          <w:rFonts w:ascii="Cambria" w:hAnsi="Cambria"/>
          <w:color w:val="000000" w:themeColor="text1"/>
          <w:shd w:val="clear" w:color="auto" w:fill="FFFFFF"/>
        </w:rPr>
        <w:t xml:space="preserve">. </w:t>
      </w:r>
      <w:r w:rsidR="00170139" w:rsidRPr="00AA1E9C">
        <w:rPr>
          <w:rFonts w:ascii="Cambria" w:hAnsi="Cambria"/>
          <w:color w:val="000000" w:themeColor="text1"/>
          <w:shd w:val="clear" w:color="auto" w:fill="FFFFFF"/>
        </w:rPr>
        <w:t>Relevantly</w:t>
      </w:r>
      <w:r w:rsidR="00321148" w:rsidRPr="00AA1E9C">
        <w:rPr>
          <w:rFonts w:ascii="Cambria" w:hAnsi="Cambria"/>
          <w:color w:val="000000" w:themeColor="text1"/>
          <w:shd w:val="clear" w:color="auto" w:fill="FFFFFF"/>
        </w:rPr>
        <w:t>, whole-of-government guidelines w</w:t>
      </w:r>
      <w:r w:rsidR="00DD558B" w:rsidRPr="00AA1E9C">
        <w:rPr>
          <w:rFonts w:ascii="Cambria" w:hAnsi="Cambria"/>
          <w:color w:val="000000" w:themeColor="text1"/>
          <w:shd w:val="clear" w:color="auto" w:fill="FFFFFF"/>
        </w:rPr>
        <w:t>ere</w:t>
      </w:r>
      <w:r w:rsidR="00321148" w:rsidRPr="00AA1E9C">
        <w:rPr>
          <w:rFonts w:ascii="Cambria" w:hAnsi="Cambria"/>
          <w:color w:val="000000" w:themeColor="text1"/>
          <w:shd w:val="clear" w:color="auto" w:fill="FFFFFF"/>
        </w:rPr>
        <w:t xml:space="preserve"> recommended by the Royal Commission into Institutional Responses to Child Sexual Abuse.</w:t>
      </w:r>
      <w:r w:rsidR="00321148" w:rsidRPr="00AA1E9C">
        <w:rPr>
          <w:rStyle w:val="FootnoteReference"/>
          <w:rFonts w:ascii="Cambria" w:hAnsi="Cambria"/>
          <w:color w:val="000000" w:themeColor="text1"/>
          <w:shd w:val="clear" w:color="auto" w:fill="FFFFFF"/>
        </w:rPr>
        <w:footnoteReference w:id="8"/>
      </w:r>
      <w:r w:rsidR="00833A6A" w:rsidRPr="00AA1E9C">
        <w:rPr>
          <w:rFonts w:ascii="Cambria" w:hAnsi="Cambria"/>
          <w:color w:val="000000" w:themeColor="text1"/>
          <w:shd w:val="clear" w:color="auto" w:fill="FFFFFF"/>
        </w:rPr>
        <w:t xml:space="preserve">    </w:t>
      </w:r>
    </w:p>
    <w:p w:rsidR="005E19AA" w:rsidRPr="00AA1E9C" w:rsidRDefault="005E19AA" w:rsidP="0013125D">
      <w:pPr>
        <w:pStyle w:val="NoSpacing"/>
        <w:jc w:val="both"/>
        <w:rPr>
          <w:rFonts w:ascii="Cambria" w:hAnsi="Cambria"/>
          <w:color w:val="000000" w:themeColor="text1"/>
          <w:shd w:val="clear" w:color="auto" w:fill="FFFFFF"/>
        </w:rPr>
      </w:pPr>
    </w:p>
    <w:p w:rsidR="006F192B" w:rsidRPr="00AA1E9C" w:rsidRDefault="006F192B" w:rsidP="006F192B">
      <w:pPr>
        <w:pStyle w:val="NoSpacing"/>
        <w:numPr>
          <w:ilvl w:val="0"/>
          <w:numId w:val="4"/>
        </w:numPr>
        <w:jc w:val="both"/>
        <w:rPr>
          <w:rFonts w:ascii="Cambria" w:hAnsi="Cambria"/>
          <w:b/>
          <w:bCs/>
          <w:i/>
          <w:iCs/>
          <w:color w:val="000000" w:themeColor="text1"/>
          <w:shd w:val="clear" w:color="auto" w:fill="FFFFFF"/>
        </w:rPr>
      </w:pPr>
      <w:r w:rsidRPr="00AA1E9C">
        <w:rPr>
          <w:rFonts w:ascii="Cambria" w:hAnsi="Cambria"/>
          <w:b/>
          <w:bCs/>
          <w:i/>
          <w:iCs/>
          <w:color w:val="000000" w:themeColor="text1"/>
          <w:shd w:val="clear" w:color="auto" w:fill="FFFFFF"/>
        </w:rPr>
        <w:t xml:space="preserve">Criminal Law Terminology and Offences </w:t>
      </w:r>
    </w:p>
    <w:p w:rsidR="00170139" w:rsidRPr="00AA1E9C" w:rsidRDefault="00B454D6" w:rsidP="00F73F18">
      <w:pPr>
        <w:pStyle w:val="NoSpacing"/>
        <w:jc w:val="both"/>
        <w:rPr>
          <w:rFonts w:ascii="Cambria" w:hAnsi="Cambria" w:cs="Arial"/>
          <w:color w:val="000000" w:themeColor="text1"/>
        </w:rPr>
      </w:pPr>
      <w:r w:rsidRPr="00AA1E9C">
        <w:rPr>
          <w:rFonts w:ascii="Cambria" w:hAnsi="Cambria"/>
          <w:color w:val="000000" w:themeColor="text1"/>
          <w:shd w:val="clear" w:color="auto" w:fill="FFFFFF"/>
        </w:rPr>
        <w:t xml:space="preserve">We support the proposed amendments to remove references to ‘sexual relationships’ between adults and children </w:t>
      </w:r>
      <w:r w:rsidR="006F192B" w:rsidRPr="00AA1E9C">
        <w:rPr>
          <w:rFonts w:ascii="Cambria" w:hAnsi="Cambria"/>
          <w:color w:val="000000" w:themeColor="text1"/>
          <w:shd w:val="clear" w:color="auto" w:fill="FFFFFF"/>
        </w:rPr>
        <w:t xml:space="preserve">in clause 9(e) and (f) of the Bill </w:t>
      </w:r>
      <w:r w:rsidRPr="00AA1E9C">
        <w:rPr>
          <w:rFonts w:ascii="Cambria" w:hAnsi="Cambria"/>
          <w:color w:val="000000" w:themeColor="text1"/>
          <w:shd w:val="clear" w:color="auto" w:fill="FFFFFF"/>
        </w:rPr>
        <w:t>and replacing them with terminology referring instead to sexual abuse or unlawful sexual acts. We believe that the terminology proposed</w:t>
      </w:r>
      <w:r w:rsidR="00DD558B" w:rsidRPr="00AA1E9C">
        <w:rPr>
          <w:rFonts w:ascii="Cambria" w:hAnsi="Cambria"/>
          <w:color w:val="000000" w:themeColor="text1"/>
          <w:shd w:val="clear" w:color="auto" w:fill="FFFFFF"/>
        </w:rPr>
        <w:t xml:space="preserve"> </w:t>
      </w:r>
      <w:r w:rsidRPr="00AA1E9C">
        <w:rPr>
          <w:rFonts w:ascii="Cambria" w:hAnsi="Cambria" w:cs="Arial"/>
          <w:color w:val="000000" w:themeColor="text1"/>
        </w:rPr>
        <w:t>better reflects community expectations and accurately describes the crime alleged to have been committed.</w:t>
      </w:r>
    </w:p>
    <w:p w:rsidR="00170139" w:rsidRPr="00AA1E9C" w:rsidRDefault="00170139" w:rsidP="00F73F18">
      <w:pPr>
        <w:pStyle w:val="NoSpacing"/>
        <w:jc w:val="both"/>
        <w:rPr>
          <w:rFonts w:ascii="Cambria" w:hAnsi="Cambria" w:cs="Arial"/>
          <w:color w:val="000000" w:themeColor="text1"/>
        </w:rPr>
      </w:pPr>
    </w:p>
    <w:p w:rsidR="002B0661" w:rsidRPr="00AA1E9C" w:rsidRDefault="00F73F18" w:rsidP="00F73F18">
      <w:pPr>
        <w:pStyle w:val="NoSpacing"/>
        <w:jc w:val="both"/>
        <w:rPr>
          <w:rFonts w:ascii="Cambria" w:hAnsi="Cambria" w:cs="Arial"/>
          <w:color w:val="000000" w:themeColor="text1"/>
        </w:rPr>
      </w:pPr>
      <w:r w:rsidRPr="00AA1E9C">
        <w:rPr>
          <w:rFonts w:ascii="Cambria" w:hAnsi="Cambria"/>
          <w:color w:val="000000" w:themeColor="text1"/>
        </w:rPr>
        <w:t>Clause 9(a) of the Bill introduces a new offence to cover indecent acts with or directed at a child or young person under the age of 18 by a person in a position of authority. The proposed new offence was recommended by the Commission of Inquiry</w:t>
      </w:r>
      <w:r w:rsidR="002B0661" w:rsidRPr="00AA1E9C">
        <w:rPr>
          <w:rFonts w:ascii="Cambria" w:hAnsi="Cambria"/>
          <w:color w:val="000000" w:themeColor="text1"/>
        </w:rPr>
        <w:t>.</w:t>
      </w:r>
      <w:r w:rsidRPr="00AA1E9C">
        <w:rPr>
          <w:rStyle w:val="FootnoteReference"/>
          <w:rFonts w:ascii="Cambria" w:hAnsi="Cambria"/>
          <w:color w:val="000000" w:themeColor="text1"/>
        </w:rPr>
        <w:footnoteReference w:id="9"/>
      </w:r>
      <w:r w:rsidR="002B0661" w:rsidRPr="00AA1E9C">
        <w:rPr>
          <w:rFonts w:ascii="Cambria" w:hAnsi="Cambria"/>
          <w:color w:val="000000" w:themeColor="text1"/>
        </w:rPr>
        <w:t xml:space="preserve"> We support the new offence but are concerned that similar age defences will not be available when the </w:t>
      </w:r>
      <w:r w:rsidR="002B0661" w:rsidRPr="00AA1E9C">
        <w:rPr>
          <w:rFonts w:ascii="Cambria" w:hAnsi="Cambria"/>
          <w:color w:val="000000" w:themeColor="text1"/>
        </w:rPr>
        <w:lastRenderedPageBreak/>
        <w:t xml:space="preserve">defence does apply to other offences in the </w:t>
      </w:r>
      <w:r w:rsidR="002B0661" w:rsidRPr="00AA1E9C">
        <w:rPr>
          <w:rFonts w:ascii="Cambria" w:hAnsi="Cambria"/>
          <w:i/>
          <w:iCs/>
          <w:color w:val="000000" w:themeColor="text1"/>
        </w:rPr>
        <w:t>Criminal Code</w:t>
      </w:r>
      <w:r w:rsidR="002B0661" w:rsidRPr="00AA1E9C">
        <w:rPr>
          <w:rFonts w:ascii="Cambria" w:hAnsi="Cambria"/>
          <w:color w:val="000000" w:themeColor="text1"/>
        </w:rPr>
        <w:t>.</w:t>
      </w:r>
      <w:r w:rsidR="00FE6B64" w:rsidRPr="00AA1E9C">
        <w:rPr>
          <w:rFonts w:ascii="Cambria" w:hAnsi="Cambria"/>
          <w:color w:val="000000" w:themeColor="text1"/>
        </w:rPr>
        <w:t xml:space="preserve"> For example, both s</w:t>
      </w:r>
      <w:r w:rsidR="002B0661" w:rsidRPr="00AA1E9C">
        <w:rPr>
          <w:rFonts w:ascii="Cambria" w:hAnsi="Cambria"/>
          <w:color w:val="000000" w:themeColor="text1"/>
        </w:rPr>
        <w:t>ection</w:t>
      </w:r>
      <w:r w:rsidR="00FE6B64" w:rsidRPr="00AA1E9C">
        <w:rPr>
          <w:rFonts w:ascii="Cambria" w:hAnsi="Cambria"/>
          <w:color w:val="000000" w:themeColor="text1"/>
        </w:rPr>
        <w:t>s</w:t>
      </w:r>
      <w:r w:rsidR="002B0661" w:rsidRPr="00AA1E9C">
        <w:rPr>
          <w:rFonts w:ascii="Cambria" w:hAnsi="Cambria"/>
          <w:color w:val="000000" w:themeColor="text1"/>
        </w:rPr>
        <w:t xml:space="preserve"> 124 </w:t>
      </w:r>
      <w:r w:rsidR="00FE6B64" w:rsidRPr="00AA1E9C">
        <w:rPr>
          <w:rFonts w:ascii="Cambria" w:hAnsi="Cambria"/>
          <w:color w:val="000000" w:themeColor="text1"/>
        </w:rPr>
        <w:t xml:space="preserve">and 125B </w:t>
      </w:r>
      <w:r w:rsidR="002B0661" w:rsidRPr="00AA1E9C">
        <w:rPr>
          <w:rFonts w:ascii="Cambria" w:hAnsi="Cambria"/>
          <w:color w:val="000000" w:themeColor="text1"/>
        </w:rPr>
        <w:t xml:space="preserve">of the </w:t>
      </w:r>
      <w:r w:rsidR="002B0661" w:rsidRPr="00AA1E9C">
        <w:rPr>
          <w:rFonts w:ascii="Cambria" w:hAnsi="Cambria"/>
          <w:i/>
          <w:iCs/>
          <w:color w:val="000000" w:themeColor="text1"/>
        </w:rPr>
        <w:t>Code</w:t>
      </w:r>
      <w:r w:rsidR="002B0661" w:rsidRPr="00AA1E9C">
        <w:rPr>
          <w:rFonts w:ascii="Cambria" w:hAnsi="Cambria"/>
          <w:color w:val="000000" w:themeColor="text1"/>
        </w:rPr>
        <w:t xml:space="preserve"> provide</w:t>
      </w:r>
      <w:r w:rsidR="00FE6B64" w:rsidRPr="00AA1E9C">
        <w:rPr>
          <w:rFonts w:ascii="Cambria" w:hAnsi="Cambria"/>
          <w:color w:val="000000" w:themeColor="text1"/>
        </w:rPr>
        <w:t xml:space="preserve"> identical defences</w:t>
      </w:r>
      <w:r w:rsidR="002B0661" w:rsidRPr="00AA1E9C">
        <w:rPr>
          <w:rFonts w:ascii="Cambria" w:hAnsi="Cambria"/>
          <w:color w:val="000000" w:themeColor="text1"/>
        </w:rPr>
        <w:t>:</w:t>
      </w:r>
      <w:r w:rsidR="00FE6B64" w:rsidRPr="00AA1E9C">
        <w:rPr>
          <w:rStyle w:val="FootnoteReference"/>
          <w:rFonts w:ascii="Cambria" w:hAnsi="Cambria"/>
          <w:color w:val="000000" w:themeColor="text1"/>
        </w:rPr>
        <w:footnoteReference w:id="10"/>
      </w:r>
    </w:p>
    <w:p w:rsidR="002B0661" w:rsidRPr="00AA1E9C" w:rsidRDefault="002B0661" w:rsidP="00F73F18">
      <w:pPr>
        <w:pStyle w:val="NoSpacing"/>
        <w:jc w:val="both"/>
        <w:rPr>
          <w:rFonts w:ascii="Cambria" w:hAnsi="Cambria"/>
          <w:color w:val="000000" w:themeColor="text1"/>
        </w:rPr>
      </w:pPr>
    </w:p>
    <w:p w:rsidR="002B0661" w:rsidRPr="00AA1E9C" w:rsidRDefault="002B0661" w:rsidP="00FE6B64">
      <w:pPr>
        <w:ind w:left="720"/>
        <w:rPr>
          <w:rFonts w:ascii="Cambria" w:hAnsi="Cambria"/>
          <w:i/>
          <w:iCs/>
          <w:color w:val="000000" w:themeColor="text1"/>
        </w:rPr>
      </w:pPr>
      <w:r w:rsidRPr="00AA1E9C">
        <w:rPr>
          <w:rFonts w:ascii="Cambria" w:hAnsi="Cambria"/>
          <w:i/>
          <w:iCs/>
          <w:color w:val="000000" w:themeColor="text1"/>
          <w:shd w:val="clear" w:color="auto" w:fill="FFFFFF"/>
        </w:rPr>
        <w:t>(3)</w:t>
      </w:r>
      <w:r w:rsidR="00FE6B64" w:rsidRPr="00AA1E9C">
        <w:rPr>
          <w:rFonts w:ascii="Cambria" w:hAnsi="Cambria"/>
          <w:i/>
          <w:iCs/>
          <w:color w:val="000000" w:themeColor="text1"/>
          <w:shd w:val="clear" w:color="auto" w:fill="FFFFFF"/>
        </w:rPr>
        <w:t xml:space="preserve"> </w:t>
      </w:r>
      <w:r w:rsidRPr="00AA1E9C">
        <w:rPr>
          <w:rFonts w:ascii="Cambria" w:hAnsi="Cambria"/>
          <w:i/>
          <w:iCs/>
          <w:color w:val="000000" w:themeColor="text1"/>
          <w:shd w:val="clear" w:color="auto" w:fill="FFFFFF"/>
        </w:rPr>
        <w:t>The consent of a person against whom a crime is alleged to have been committed under this section is a defence to such a charge only where, at the time the crime was alleged to have been committed –</w:t>
      </w:r>
      <w:bookmarkStart w:id="0" w:name="JS1@GS124@Gs3@Hpa@EN"/>
      <w:bookmarkEnd w:id="0"/>
    </w:p>
    <w:p w:rsidR="00FE6B64" w:rsidRPr="00AA1E9C" w:rsidRDefault="00FE6B64" w:rsidP="00FE6B64">
      <w:pPr>
        <w:shd w:val="clear" w:color="auto" w:fill="FFFFFF"/>
        <w:ind w:left="720"/>
        <w:rPr>
          <w:rFonts w:ascii="Cambria" w:hAnsi="Cambria"/>
          <w:i/>
          <w:iCs/>
          <w:color w:val="000000" w:themeColor="text1"/>
        </w:rPr>
      </w:pPr>
    </w:p>
    <w:p w:rsidR="002B0661" w:rsidRPr="00AA1E9C" w:rsidRDefault="002B0661" w:rsidP="00FE6B64">
      <w:pPr>
        <w:shd w:val="clear" w:color="auto" w:fill="FFFFFF"/>
        <w:ind w:left="1440"/>
        <w:rPr>
          <w:rFonts w:ascii="Cambria" w:hAnsi="Cambria"/>
          <w:i/>
          <w:iCs/>
          <w:color w:val="000000" w:themeColor="text1"/>
        </w:rPr>
      </w:pPr>
      <w:r w:rsidRPr="00AA1E9C">
        <w:rPr>
          <w:rFonts w:ascii="Cambria" w:hAnsi="Cambria"/>
          <w:i/>
          <w:iCs/>
          <w:color w:val="000000" w:themeColor="text1"/>
        </w:rPr>
        <w:t>(a) that person was of or above the age of 15 years and the accused person was not more than 5 years older than that person; or</w:t>
      </w:r>
    </w:p>
    <w:p w:rsidR="00FE6B64" w:rsidRPr="00AA1E9C" w:rsidRDefault="00FE6B64" w:rsidP="00FE6B64">
      <w:pPr>
        <w:shd w:val="clear" w:color="auto" w:fill="FFFFFF"/>
        <w:ind w:left="720"/>
        <w:rPr>
          <w:rFonts w:ascii="Cambria" w:hAnsi="Cambria"/>
          <w:i/>
          <w:iCs/>
          <w:color w:val="000000" w:themeColor="text1"/>
        </w:rPr>
      </w:pPr>
      <w:bookmarkStart w:id="1" w:name="JS1@GS124@Gs3@Hpb@EN"/>
      <w:bookmarkEnd w:id="1"/>
    </w:p>
    <w:p w:rsidR="00FE6B64" w:rsidRPr="00AA1E9C" w:rsidRDefault="002B0661" w:rsidP="00FE6B64">
      <w:pPr>
        <w:shd w:val="clear" w:color="auto" w:fill="FFFFFF"/>
        <w:ind w:left="1440"/>
        <w:rPr>
          <w:rFonts w:ascii="Cambria" w:hAnsi="Cambria"/>
          <w:i/>
          <w:iCs/>
          <w:color w:val="000000" w:themeColor="text1"/>
        </w:rPr>
      </w:pPr>
      <w:r w:rsidRPr="00AA1E9C">
        <w:rPr>
          <w:rFonts w:ascii="Cambria" w:hAnsi="Cambria"/>
          <w:i/>
          <w:iCs/>
          <w:color w:val="000000" w:themeColor="text1"/>
        </w:rPr>
        <w:t>(b) that person was of or above the age of 12 years and the accused person was not more than 3 years older than that person.</w:t>
      </w:r>
    </w:p>
    <w:p w:rsidR="00FE6B64" w:rsidRPr="00AA1E9C" w:rsidRDefault="00FE6B64" w:rsidP="00F73F18">
      <w:pPr>
        <w:pStyle w:val="NoSpacing"/>
        <w:jc w:val="both"/>
        <w:rPr>
          <w:rFonts w:ascii="Cambria" w:hAnsi="Cambria" w:cs="Arial"/>
          <w:color w:val="000000" w:themeColor="text1"/>
        </w:rPr>
      </w:pPr>
    </w:p>
    <w:p w:rsidR="00530832" w:rsidRPr="00AA1E9C" w:rsidRDefault="00FE6B64" w:rsidP="00A54A07">
      <w:pPr>
        <w:pStyle w:val="NoSpacing"/>
        <w:jc w:val="both"/>
        <w:rPr>
          <w:rFonts w:ascii="Cambria" w:hAnsi="Cambria" w:cs="Arial"/>
          <w:color w:val="000000" w:themeColor="text1"/>
        </w:rPr>
      </w:pPr>
      <w:r w:rsidRPr="00AA1E9C">
        <w:rPr>
          <w:rFonts w:ascii="Cambria" w:hAnsi="Cambria" w:cs="Arial"/>
          <w:color w:val="000000" w:themeColor="text1"/>
        </w:rPr>
        <w:t xml:space="preserve">We recommend that a similar </w:t>
      </w:r>
      <w:r w:rsidR="00530832" w:rsidRPr="00AA1E9C">
        <w:rPr>
          <w:rFonts w:ascii="Cambria" w:hAnsi="Cambria" w:cs="Arial"/>
          <w:color w:val="000000" w:themeColor="text1"/>
        </w:rPr>
        <w:t xml:space="preserve">age </w:t>
      </w:r>
      <w:r w:rsidRPr="00AA1E9C">
        <w:rPr>
          <w:rFonts w:ascii="Cambria" w:hAnsi="Cambria" w:cs="Arial"/>
          <w:color w:val="000000" w:themeColor="text1"/>
        </w:rPr>
        <w:t>defence</w:t>
      </w:r>
      <w:r w:rsidR="003B1D6B" w:rsidRPr="00AA1E9C">
        <w:rPr>
          <w:rFonts w:ascii="Cambria" w:hAnsi="Cambria" w:cs="Arial"/>
          <w:color w:val="000000" w:themeColor="text1"/>
        </w:rPr>
        <w:t xml:space="preserve"> is available for the new offence set out in clause 9(a) of the Bill. </w:t>
      </w:r>
      <w:r w:rsidRPr="00AA1E9C">
        <w:rPr>
          <w:rFonts w:ascii="Cambria" w:hAnsi="Cambria" w:cs="Arial"/>
          <w:color w:val="000000" w:themeColor="text1"/>
        </w:rPr>
        <w:t xml:space="preserve"> </w:t>
      </w:r>
    </w:p>
    <w:p w:rsidR="00530832" w:rsidRPr="00AA1E9C" w:rsidRDefault="00530832" w:rsidP="00A54A07">
      <w:pPr>
        <w:pStyle w:val="NoSpacing"/>
        <w:jc w:val="both"/>
        <w:rPr>
          <w:rFonts w:ascii="Cambria" w:hAnsi="Cambria" w:cs="Arial"/>
          <w:color w:val="000000" w:themeColor="text1"/>
        </w:rPr>
      </w:pPr>
    </w:p>
    <w:p w:rsidR="00B454D6" w:rsidRPr="00AA1E9C" w:rsidRDefault="00530832" w:rsidP="00A54A07">
      <w:pPr>
        <w:pStyle w:val="NoSpacing"/>
        <w:jc w:val="both"/>
        <w:rPr>
          <w:rFonts w:ascii="Cambria" w:hAnsi="Cambria" w:cs="Arial"/>
          <w:color w:val="000000" w:themeColor="text1"/>
        </w:rPr>
      </w:pPr>
      <w:r w:rsidRPr="00AA1E9C">
        <w:rPr>
          <w:rFonts w:ascii="Cambria" w:hAnsi="Cambria" w:cs="Arial"/>
          <w:color w:val="000000" w:themeColor="text1"/>
        </w:rPr>
        <w:t>Finally, we</w:t>
      </w:r>
      <w:r w:rsidR="004B7A47" w:rsidRPr="00AA1E9C">
        <w:rPr>
          <w:rFonts w:ascii="Cambria" w:hAnsi="Cambria" w:cs="Arial"/>
          <w:color w:val="000000" w:themeColor="text1"/>
        </w:rPr>
        <w:t xml:space="preserve"> support c</w:t>
      </w:r>
      <w:r w:rsidR="00B454D6" w:rsidRPr="00AA1E9C">
        <w:rPr>
          <w:rFonts w:ascii="Cambria" w:hAnsi="Cambria"/>
          <w:color w:val="000000" w:themeColor="text1"/>
        </w:rPr>
        <w:t xml:space="preserve">lause 9(g) </w:t>
      </w:r>
      <w:r w:rsidR="004B7A47" w:rsidRPr="00AA1E9C">
        <w:rPr>
          <w:rFonts w:ascii="Cambria" w:hAnsi="Cambria"/>
          <w:color w:val="000000" w:themeColor="text1"/>
        </w:rPr>
        <w:t>of the Bill</w:t>
      </w:r>
      <w:r w:rsidR="00B454D6" w:rsidRPr="00AA1E9C">
        <w:rPr>
          <w:rFonts w:ascii="Cambria" w:hAnsi="Cambria"/>
          <w:color w:val="000000" w:themeColor="text1"/>
        </w:rPr>
        <w:t xml:space="preserve"> </w:t>
      </w:r>
      <w:r w:rsidR="004B7A47" w:rsidRPr="00AA1E9C">
        <w:rPr>
          <w:rFonts w:ascii="Cambria" w:hAnsi="Cambria"/>
          <w:color w:val="000000" w:themeColor="text1"/>
        </w:rPr>
        <w:t>which will make clear that</w:t>
      </w:r>
      <w:r w:rsidR="00B454D6" w:rsidRPr="00AA1E9C">
        <w:rPr>
          <w:rFonts w:ascii="Cambria" w:hAnsi="Cambria"/>
          <w:color w:val="000000" w:themeColor="text1"/>
        </w:rPr>
        <w:t xml:space="preserve"> the offence of ‘failure by a person in authority to protect a child from a sexual offence’ does not apply to children.</w:t>
      </w:r>
      <w:r w:rsidR="004B7A47" w:rsidRPr="00AA1E9C">
        <w:rPr>
          <w:rFonts w:ascii="Cambria" w:hAnsi="Cambria"/>
          <w:color w:val="000000" w:themeColor="text1"/>
        </w:rPr>
        <w:t xml:space="preserve"> </w:t>
      </w:r>
    </w:p>
    <w:p w:rsidR="00262195" w:rsidRPr="00AA1E9C" w:rsidRDefault="00262195" w:rsidP="00A54A07">
      <w:pPr>
        <w:pStyle w:val="NoSpacing"/>
        <w:jc w:val="both"/>
        <w:rPr>
          <w:rFonts w:ascii="Cambria" w:hAnsi="Cambria"/>
          <w:color w:val="000000" w:themeColor="text1"/>
        </w:rPr>
      </w:pPr>
    </w:p>
    <w:p w:rsidR="00A54A07" w:rsidRPr="00AA1E9C" w:rsidRDefault="00A54A07" w:rsidP="00A54A07">
      <w:pPr>
        <w:pStyle w:val="NoSpacing"/>
        <w:numPr>
          <w:ilvl w:val="0"/>
          <w:numId w:val="4"/>
        </w:numPr>
        <w:jc w:val="both"/>
        <w:rPr>
          <w:rFonts w:ascii="Cambria" w:hAnsi="Cambria"/>
          <w:b/>
          <w:bCs/>
          <w:i/>
          <w:iCs/>
          <w:color w:val="000000" w:themeColor="text1"/>
        </w:rPr>
      </w:pPr>
      <w:r w:rsidRPr="00AA1E9C">
        <w:rPr>
          <w:rFonts w:ascii="Cambria" w:hAnsi="Cambria"/>
          <w:b/>
          <w:bCs/>
          <w:i/>
          <w:iCs/>
          <w:color w:val="000000" w:themeColor="text1"/>
        </w:rPr>
        <w:t>Jury Directions</w:t>
      </w:r>
    </w:p>
    <w:p w:rsidR="00530832" w:rsidRPr="00AA1E9C" w:rsidRDefault="008640E8" w:rsidP="00A54A07">
      <w:pPr>
        <w:pStyle w:val="NoSpacing"/>
        <w:jc w:val="both"/>
        <w:rPr>
          <w:rFonts w:ascii="Cambria" w:hAnsi="Cambria"/>
          <w:color w:val="000000" w:themeColor="text1"/>
        </w:rPr>
      </w:pPr>
      <w:r w:rsidRPr="00AA1E9C">
        <w:rPr>
          <w:rFonts w:ascii="Cambria" w:hAnsi="Cambria"/>
          <w:color w:val="000000" w:themeColor="text1"/>
        </w:rPr>
        <w:t xml:space="preserve">Educative jury directions can be important in </w:t>
      </w:r>
      <w:r w:rsidRPr="00AA1E9C">
        <w:rPr>
          <w:rFonts w:ascii="Cambria" w:hAnsi="Cambria"/>
          <w:color w:val="000000" w:themeColor="text1"/>
        </w:rPr>
        <w:t>improving the fairness of criminal justice</w:t>
      </w:r>
      <w:r w:rsidRPr="00AA1E9C">
        <w:rPr>
          <w:rFonts w:ascii="Cambria" w:hAnsi="Cambria"/>
          <w:color w:val="000000" w:themeColor="text1"/>
        </w:rPr>
        <w:t xml:space="preserve"> and the experience of survivors in the criminal justice system as well as addressing misconceptions about sexual abuse.</w:t>
      </w:r>
      <w:r w:rsidRPr="00AA1E9C">
        <w:rPr>
          <w:rFonts w:ascii="Cambria" w:hAnsi="Cambria"/>
          <w:b/>
          <w:bCs/>
          <w:color w:val="000000" w:themeColor="text1"/>
        </w:rPr>
        <w:t xml:space="preserve"> </w:t>
      </w:r>
      <w:r w:rsidR="004375C3" w:rsidRPr="00AA1E9C">
        <w:rPr>
          <w:rFonts w:ascii="Cambria" w:hAnsi="Cambria"/>
          <w:color w:val="000000" w:themeColor="text1"/>
        </w:rPr>
        <w:t xml:space="preserve">In 2010, the Australian Law Reform Commission and the New South Wales Law Reform Commission jointly recommended that a standard approach to jury directions about children’s abilities as witnesses and responses to sexual abuse be </w:t>
      </w:r>
      <w:r w:rsidR="006F43FB" w:rsidRPr="00AA1E9C">
        <w:rPr>
          <w:rFonts w:ascii="Cambria" w:hAnsi="Cambria"/>
          <w:color w:val="000000" w:themeColor="text1"/>
        </w:rPr>
        <w:t>introduced</w:t>
      </w:r>
      <w:r w:rsidR="004375C3" w:rsidRPr="00AA1E9C">
        <w:rPr>
          <w:rFonts w:ascii="Cambria" w:hAnsi="Cambria"/>
          <w:color w:val="000000" w:themeColor="text1"/>
        </w:rPr>
        <w:t xml:space="preserve"> in every Australian jurisdiction.</w:t>
      </w:r>
      <w:r w:rsidR="004375C3" w:rsidRPr="00AA1E9C">
        <w:rPr>
          <w:rStyle w:val="FootnoteReference"/>
          <w:rFonts w:ascii="Cambria" w:hAnsi="Cambria"/>
          <w:color w:val="000000" w:themeColor="text1"/>
        </w:rPr>
        <w:footnoteReference w:id="11"/>
      </w:r>
      <w:r w:rsidR="005041EB" w:rsidRPr="00AA1E9C">
        <w:rPr>
          <w:rFonts w:ascii="Cambria" w:hAnsi="Cambria"/>
          <w:b/>
          <w:bCs/>
          <w:color w:val="000000" w:themeColor="text1"/>
        </w:rPr>
        <w:t xml:space="preserve"> </w:t>
      </w:r>
      <w:r w:rsidR="008D74E1" w:rsidRPr="00AA1E9C">
        <w:rPr>
          <w:rFonts w:ascii="Cambria" w:hAnsi="Cambria"/>
          <w:color w:val="000000" w:themeColor="text1"/>
        </w:rPr>
        <w:t>Almost fifteen years later</w:t>
      </w:r>
      <w:r w:rsidR="00262195" w:rsidRPr="00AA1E9C">
        <w:rPr>
          <w:rFonts w:ascii="Cambria" w:hAnsi="Cambria"/>
          <w:color w:val="000000" w:themeColor="text1"/>
        </w:rPr>
        <w:t>,</w:t>
      </w:r>
      <w:r w:rsidR="008D74E1" w:rsidRPr="00AA1E9C">
        <w:rPr>
          <w:rFonts w:ascii="Cambria" w:hAnsi="Cambria"/>
          <w:color w:val="000000" w:themeColor="text1"/>
        </w:rPr>
        <w:t xml:space="preserve"> the Royal Commission </w:t>
      </w:r>
      <w:r w:rsidR="005041EB" w:rsidRPr="00AA1E9C">
        <w:rPr>
          <w:rFonts w:ascii="Cambria" w:hAnsi="Cambria"/>
          <w:color w:val="000000" w:themeColor="text1"/>
        </w:rPr>
        <w:t xml:space="preserve">noted that </w:t>
      </w:r>
      <w:r w:rsidR="000776A4" w:rsidRPr="00AA1E9C">
        <w:rPr>
          <w:rFonts w:ascii="Cambria" w:hAnsi="Cambria"/>
          <w:color w:val="000000" w:themeColor="text1"/>
        </w:rPr>
        <w:t xml:space="preserve">“very little seems to have been done” and </w:t>
      </w:r>
      <w:r w:rsidR="005041EB" w:rsidRPr="00AA1E9C">
        <w:rPr>
          <w:rFonts w:ascii="Cambria" w:hAnsi="Cambria"/>
          <w:color w:val="000000" w:themeColor="text1"/>
        </w:rPr>
        <w:t xml:space="preserve">recommended that jury directions be introduced </w:t>
      </w:r>
      <w:r w:rsidR="006F43FB" w:rsidRPr="00AA1E9C">
        <w:rPr>
          <w:rFonts w:ascii="Cambria" w:hAnsi="Cambria"/>
          <w:color w:val="000000" w:themeColor="text1"/>
        </w:rPr>
        <w:t xml:space="preserve">as a priority </w:t>
      </w:r>
      <w:r w:rsidR="00480F67" w:rsidRPr="00AA1E9C">
        <w:rPr>
          <w:rFonts w:ascii="Cambria" w:hAnsi="Cambria"/>
          <w:color w:val="000000" w:themeColor="text1"/>
        </w:rPr>
        <w:t>in all Australian jurisdictions</w:t>
      </w:r>
      <w:r w:rsidR="005041EB" w:rsidRPr="00AA1E9C">
        <w:rPr>
          <w:rFonts w:ascii="Cambria" w:hAnsi="Cambria"/>
          <w:color w:val="000000" w:themeColor="text1"/>
        </w:rPr>
        <w:t>.</w:t>
      </w:r>
      <w:r w:rsidR="005041EB" w:rsidRPr="00AA1E9C">
        <w:rPr>
          <w:rStyle w:val="FootnoteReference"/>
          <w:rFonts w:ascii="Cambria" w:hAnsi="Cambria"/>
          <w:color w:val="000000" w:themeColor="text1"/>
        </w:rPr>
        <w:footnoteReference w:id="12"/>
      </w:r>
      <w:r w:rsidR="000776A4" w:rsidRPr="00AA1E9C">
        <w:rPr>
          <w:rFonts w:ascii="Cambria" w:hAnsi="Cambria"/>
          <w:color w:val="000000" w:themeColor="text1"/>
        </w:rPr>
        <w:t xml:space="preserve"> </w:t>
      </w:r>
    </w:p>
    <w:p w:rsidR="00530832" w:rsidRPr="00AA1E9C" w:rsidRDefault="00530832" w:rsidP="00A54A07">
      <w:pPr>
        <w:pStyle w:val="NoSpacing"/>
        <w:jc w:val="both"/>
        <w:rPr>
          <w:rFonts w:ascii="Cambria" w:hAnsi="Cambria"/>
          <w:color w:val="000000" w:themeColor="text1"/>
        </w:rPr>
      </w:pPr>
    </w:p>
    <w:p w:rsidR="00530832" w:rsidRPr="00AA1E9C" w:rsidRDefault="000776A4" w:rsidP="009F2AD7">
      <w:pPr>
        <w:pStyle w:val="NoSpacing"/>
        <w:jc w:val="both"/>
        <w:rPr>
          <w:rFonts w:ascii="Cambria" w:hAnsi="Cambria"/>
          <w:color w:val="000000" w:themeColor="text1"/>
        </w:rPr>
      </w:pPr>
      <w:r w:rsidRPr="00AA1E9C">
        <w:rPr>
          <w:rFonts w:ascii="Cambria" w:hAnsi="Cambria"/>
          <w:color w:val="000000" w:themeColor="text1"/>
        </w:rPr>
        <w:t>The</w:t>
      </w:r>
      <w:r w:rsidR="00F522B9" w:rsidRPr="00AA1E9C">
        <w:rPr>
          <w:rFonts w:ascii="Cambria" w:hAnsi="Cambria"/>
          <w:color w:val="000000" w:themeColor="text1"/>
        </w:rPr>
        <w:t xml:space="preserve"> </w:t>
      </w:r>
      <w:r w:rsidRPr="00AA1E9C">
        <w:rPr>
          <w:rFonts w:ascii="Cambria" w:hAnsi="Cambria"/>
          <w:color w:val="000000" w:themeColor="text1"/>
        </w:rPr>
        <w:t xml:space="preserve"> proposed </w:t>
      </w:r>
      <w:r w:rsidR="00F522B9" w:rsidRPr="00AA1E9C">
        <w:rPr>
          <w:rFonts w:ascii="Cambria" w:hAnsi="Cambria"/>
          <w:color w:val="000000" w:themeColor="text1"/>
        </w:rPr>
        <w:t xml:space="preserve">section 371C </w:t>
      </w:r>
      <w:r w:rsidRPr="00AA1E9C">
        <w:rPr>
          <w:rFonts w:ascii="Cambria" w:hAnsi="Cambria"/>
          <w:color w:val="000000" w:themeColor="text1"/>
        </w:rPr>
        <w:t xml:space="preserve">jury direction </w:t>
      </w:r>
      <w:r w:rsidR="00262195" w:rsidRPr="00AA1E9C">
        <w:rPr>
          <w:rFonts w:ascii="Cambria" w:hAnsi="Cambria"/>
          <w:color w:val="000000" w:themeColor="text1"/>
        </w:rPr>
        <w:t>will require trial judges to explain to juries the difficulties child witnesses often face in giving evidence in court</w:t>
      </w:r>
      <w:r w:rsidR="006F43FB" w:rsidRPr="00AA1E9C">
        <w:rPr>
          <w:rFonts w:ascii="Cambria" w:hAnsi="Cambria"/>
          <w:color w:val="000000" w:themeColor="text1"/>
        </w:rPr>
        <w:t>, including where the reliability or credibility of the child witness is likely to be an issue.</w:t>
      </w:r>
      <w:r w:rsidR="00F522B9" w:rsidRPr="00AA1E9C">
        <w:rPr>
          <w:rFonts w:ascii="Cambria" w:hAnsi="Cambria"/>
          <w:color w:val="000000" w:themeColor="text1"/>
        </w:rPr>
        <w:t xml:space="preserve"> </w:t>
      </w:r>
      <w:r w:rsidR="006F43FB" w:rsidRPr="00AA1E9C">
        <w:rPr>
          <w:rFonts w:ascii="Cambria" w:hAnsi="Cambria"/>
          <w:color w:val="000000" w:themeColor="text1"/>
        </w:rPr>
        <w:t xml:space="preserve">The jury direction </w:t>
      </w:r>
      <w:r w:rsidRPr="00AA1E9C">
        <w:rPr>
          <w:rFonts w:ascii="Cambria" w:hAnsi="Cambria"/>
          <w:color w:val="000000" w:themeColor="text1"/>
        </w:rPr>
        <w:t xml:space="preserve">is based on </w:t>
      </w:r>
      <w:r w:rsidR="0036527F" w:rsidRPr="00AA1E9C">
        <w:rPr>
          <w:rFonts w:ascii="Cambria" w:hAnsi="Cambria"/>
          <w:color w:val="000000" w:themeColor="text1"/>
        </w:rPr>
        <w:t xml:space="preserve">section 44N of the </w:t>
      </w:r>
      <w:r w:rsidR="0036527F" w:rsidRPr="00AA1E9C">
        <w:rPr>
          <w:rFonts w:ascii="Cambria" w:hAnsi="Cambria"/>
          <w:i/>
          <w:iCs/>
          <w:color w:val="000000" w:themeColor="text1"/>
        </w:rPr>
        <w:t>Jury Directions Act 2015</w:t>
      </w:r>
      <w:r w:rsidR="0036527F" w:rsidRPr="00AA1E9C">
        <w:rPr>
          <w:rFonts w:ascii="Cambria" w:hAnsi="Cambria"/>
          <w:color w:val="000000" w:themeColor="text1"/>
        </w:rPr>
        <w:t xml:space="preserve"> (Vic)</w:t>
      </w:r>
      <w:r w:rsidR="006F43FB" w:rsidRPr="00AA1E9C">
        <w:rPr>
          <w:rFonts w:ascii="Cambria" w:hAnsi="Cambria"/>
          <w:color w:val="000000" w:themeColor="text1"/>
        </w:rPr>
        <w:t xml:space="preserve"> and was recommended by the Commission of Inquiry.</w:t>
      </w:r>
      <w:r w:rsidR="006F43FB" w:rsidRPr="00AA1E9C">
        <w:rPr>
          <w:rStyle w:val="FootnoteReference"/>
          <w:rFonts w:ascii="Cambria" w:hAnsi="Cambria"/>
          <w:color w:val="000000" w:themeColor="text1"/>
        </w:rPr>
        <w:footnoteReference w:id="13"/>
      </w:r>
      <w:r w:rsidR="0036527F" w:rsidRPr="00AA1E9C">
        <w:rPr>
          <w:rFonts w:ascii="Cambria" w:hAnsi="Cambria"/>
          <w:color w:val="000000" w:themeColor="text1"/>
        </w:rPr>
        <w:t xml:space="preserve"> Whilst it is likely that the Victorian reforms were</w:t>
      </w:r>
      <w:r w:rsidR="00480F67" w:rsidRPr="00AA1E9C">
        <w:rPr>
          <w:rFonts w:ascii="Cambria" w:hAnsi="Cambria"/>
          <w:color w:val="000000" w:themeColor="text1"/>
        </w:rPr>
        <w:t xml:space="preserve"> the result of </w:t>
      </w:r>
      <w:r w:rsidR="0036527F" w:rsidRPr="00AA1E9C">
        <w:rPr>
          <w:rFonts w:ascii="Cambria" w:hAnsi="Cambria"/>
          <w:color w:val="000000" w:themeColor="text1"/>
        </w:rPr>
        <w:t>consultation</w:t>
      </w:r>
      <w:r w:rsidR="00480F67" w:rsidRPr="00AA1E9C">
        <w:rPr>
          <w:rFonts w:ascii="Cambria" w:hAnsi="Cambria"/>
          <w:color w:val="000000" w:themeColor="text1"/>
        </w:rPr>
        <w:t xml:space="preserve">, we call on the Department of Justice to </w:t>
      </w:r>
      <w:r w:rsidR="00530832" w:rsidRPr="00AA1E9C">
        <w:rPr>
          <w:rFonts w:ascii="Cambria" w:hAnsi="Cambria"/>
          <w:color w:val="000000" w:themeColor="text1"/>
        </w:rPr>
        <w:t xml:space="preserve">comprehensively </w:t>
      </w:r>
      <w:r w:rsidR="00480F67" w:rsidRPr="00AA1E9C">
        <w:rPr>
          <w:rFonts w:ascii="Cambria" w:hAnsi="Cambria"/>
          <w:color w:val="000000" w:themeColor="text1"/>
        </w:rPr>
        <w:t xml:space="preserve">engage with Tasmanian </w:t>
      </w:r>
      <w:r w:rsidR="00480F67" w:rsidRPr="00AA1E9C">
        <w:rPr>
          <w:rFonts w:ascii="Cambria" w:hAnsi="Cambria"/>
          <w:color w:val="000000" w:themeColor="text1"/>
        </w:rPr>
        <w:t xml:space="preserve">academics, prosecution and defence lawyers </w:t>
      </w:r>
      <w:r w:rsidR="00530832" w:rsidRPr="00AA1E9C">
        <w:rPr>
          <w:rFonts w:ascii="Cambria" w:hAnsi="Cambria"/>
          <w:color w:val="000000" w:themeColor="text1"/>
        </w:rPr>
        <w:t>and</w:t>
      </w:r>
      <w:r w:rsidR="00480F67" w:rsidRPr="00AA1E9C">
        <w:rPr>
          <w:rFonts w:ascii="Cambria" w:hAnsi="Cambria"/>
          <w:color w:val="000000" w:themeColor="text1"/>
        </w:rPr>
        <w:t xml:space="preserve"> the judiciary</w:t>
      </w:r>
      <w:r w:rsidR="00480F67" w:rsidRPr="00AA1E9C">
        <w:rPr>
          <w:rFonts w:ascii="Cambria" w:hAnsi="Cambria"/>
          <w:color w:val="000000" w:themeColor="text1"/>
        </w:rPr>
        <w:t xml:space="preserve"> as part of this process. </w:t>
      </w:r>
    </w:p>
    <w:p w:rsidR="009F2AD7" w:rsidRPr="00AA1E9C" w:rsidRDefault="009F2AD7" w:rsidP="009F2AD7">
      <w:pPr>
        <w:pStyle w:val="NoSpacing"/>
        <w:jc w:val="both"/>
        <w:rPr>
          <w:rFonts w:ascii="Cambria" w:hAnsi="Cambria"/>
          <w:color w:val="000000" w:themeColor="text1"/>
        </w:rPr>
      </w:pPr>
    </w:p>
    <w:p w:rsidR="009F2AD7" w:rsidRPr="00AA1E9C" w:rsidRDefault="009F2AD7" w:rsidP="009F2AD7">
      <w:pPr>
        <w:pStyle w:val="NoSpacing"/>
        <w:jc w:val="both"/>
        <w:rPr>
          <w:rFonts w:ascii="Cambria" w:hAnsi="Cambria"/>
          <w:color w:val="000000" w:themeColor="text1"/>
        </w:rPr>
      </w:pPr>
    </w:p>
    <w:p w:rsidR="00530832" w:rsidRPr="00AA1E9C" w:rsidRDefault="00530832" w:rsidP="00530832">
      <w:pPr>
        <w:pStyle w:val="ListParagraph"/>
        <w:numPr>
          <w:ilvl w:val="0"/>
          <w:numId w:val="4"/>
        </w:numPr>
        <w:shd w:val="clear" w:color="auto" w:fill="FFFFFF"/>
        <w:textAlignment w:val="baseline"/>
        <w:rPr>
          <w:rFonts w:ascii="Cambria" w:hAnsi="Cambria"/>
          <w:i/>
          <w:iCs/>
          <w:color w:val="000000" w:themeColor="text1"/>
        </w:rPr>
      </w:pPr>
      <w:r w:rsidRPr="00AA1E9C">
        <w:rPr>
          <w:rFonts w:ascii="Cambria" w:hAnsi="Cambria"/>
          <w:b/>
          <w:bCs/>
          <w:i/>
          <w:iCs/>
          <w:color w:val="000000" w:themeColor="text1"/>
        </w:rPr>
        <w:lastRenderedPageBreak/>
        <w:t>Tendency and Coincidence Evidence</w:t>
      </w:r>
    </w:p>
    <w:p w:rsidR="00530832" w:rsidRPr="00AA1E9C" w:rsidRDefault="00530832" w:rsidP="00530832">
      <w:pPr>
        <w:shd w:val="clear" w:color="auto" w:fill="FFFFFF"/>
        <w:jc w:val="both"/>
        <w:textAlignment w:val="baseline"/>
        <w:rPr>
          <w:rFonts w:ascii="Cambria" w:hAnsi="Cambria"/>
          <w:color w:val="000000" w:themeColor="text1"/>
        </w:rPr>
      </w:pPr>
      <w:r w:rsidRPr="00AA1E9C">
        <w:rPr>
          <w:rFonts w:ascii="Cambria" w:hAnsi="Cambria"/>
          <w:color w:val="000000" w:themeColor="text1"/>
        </w:rPr>
        <w:t>The Commission of Inquiry noted that it is often difficult to prove beyond reasonable doubt that child sexual abuse has occurred, particularly where the only evidence of the abuse is the victim-survivor’s evidence.</w:t>
      </w:r>
      <w:r w:rsidRPr="00AA1E9C">
        <w:rPr>
          <w:rStyle w:val="FootnoteReference"/>
          <w:rFonts w:ascii="Cambria" w:hAnsi="Cambria"/>
          <w:color w:val="000000" w:themeColor="text1"/>
        </w:rPr>
        <w:footnoteReference w:id="14"/>
      </w:r>
      <w:r w:rsidRPr="00AA1E9C">
        <w:rPr>
          <w:rFonts w:ascii="Cambria" w:hAnsi="Cambria"/>
          <w:color w:val="000000" w:themeColor="text1"/>
        </w:rPr>
        <w:t> Clauses 9, 12 and 13 of the Bill expand the admissibility of tendency and coincidence evidence so that where an accused is acquitted of a family violence or sexual offence in the Magistrates Court because the prosecution does not proceed with the charge, the acquittal of the first charge will not prevent the admitting of the evidence during the hearing of another family violence or sexual offence.</w:t>
      </w:r>
    </w:p>
    <w:p w:rsidR="00530832" w:rsidRPr="00AA1E9C" w:rsidRDefault="00530832" w:rsidP="00530832">
      <w:pPr>
        <w:shd w:val="clear" w:color="auto" w:fill="FFFFFF"/>
        <w:jc w:val="both"/>
        <w:textAlignment w:val="baseline"/>
        <w:rPr>
          <w:rFonts w:ascii="Cambria" w:hAnsi="Cambria"/>
          <w:color w:val="000000" w:themeColor="text1"/>
        </w:rPr>
      </w:pPr>
      <w:r w:rsidRPr="00AA1E9C">
        <w:rPr>
          <w:rFonts w:ascii="Cambria" w:hAnsi="Cambria"/>
          <w:color w:val="000000" w:themeColor="text1"/>
        </w:rPr>
        <w:t> </w:t>
      </w:r>
    </w:p>
    <w:p w:rsidR="00F9108F" w:rsidRPr="00AA1E9C" w:rsidRDefault="00530832" w:rsidP="00530832">
      <w:pPr>
        <w:shd w:val="clear" w:color="auto" w:fill="FFFFFF"/>
        <w:jc w:val="both"/>
        <w:textAlignment w:val="baseline"/>
        <w:rPr>
          <w:rFonts w:ascii="Cambria" w:hAnsi="Cambria"/>
          <w:color w:val="000000" w:themeColor="text1"/>
        </w:rPr>
      </w:pPr>
      <w:r w:rsidRPr="00AA1E9C">
        <w:rPr>
          <w:rFonts w:ascii="Cambria" w:hAnsi="Cambria"/>
          <w:color w:val="000000" w:themeColor="text1"/>
        </w:rPr>
        <w:t>Whilst we acknowledge that these amendments were recommended by the Commission of Inquiry,</w:t>
      </w:r>
      <w:r w:rsidRPr="00AA1E9C">
        <w:rPr>
          <w:rStyle w:val="FootnoteReference"/>
          <w:rFonts w:ascii="Cambria" w:hAnsi="Cambria"/>
          <w:color w:val="000000" w:themeColor="text1"/>
        </w:rPr>
        <w:footnoteReference w:id="15"/>
      </w:r>
      <w:r w:rsidRPr="00AA1E9C">
        <w:rPr>
          <w:rFonts w:ascii="Cambria" w:hAnsi="Cambria"/>
          <w:color w:val="000000" w:themeColor="text1"/>
        </w:rPr>
        <w:t> we are concerned that the proposed reforms may result in further trauma to victim-survivors and other witnesses as a result of having to give evidence in relation to previous acts of alleged sexual offending that were discontinued by the prosecution. In some cases, the acquittal may have been the result of a victim-survivor or witness not wanting to give evidence.</w:t>
      </w:r>
      <w:r w:rsidRPr="00AA1E9C">
        <w:rPr>
          <w:rFonts w:ascii="Cambria" w:hAnsi="Cambria"/>
          <w:color w:val="000000" w:themeColor="text1"/>
        </w:rPr>
        <w:t xml:space="preserve"> </w:t>
      </w:r>
      <w:r w:rsidRPr="00AA1E9C">
        <w:rPr>
          <w:rFonts w:ascii="Cambria" w:hAnsi="Cambria"/>
          <w:color w:val="000000" w:themeColor="text1"/>
        </w:rPr>
        <w:t>We are also concerned that the proposed reforms may allow evidence to be heard about acts which</w:t>
      </w:r>
      <w:r w:rsidR="006C46FD" w:rsidRPr="00AA1E9C">
        <w:rPr>
          <w:rFonts w:ascii="Cambria" w:hAnsi="Cambria"/>
          <w:color w:val="000000" w:themeColor="text1"/>
        </w:rPr>
        <w:t xml:space="preserve"> </w:t>
      </w:r>
      <w:r w:rsidRPr="00AA1E9C">
        <w:rPr>
          <w:rFonts w:ascii="Cambria" w:hAnsi="Cambria"/>
          <w:color w:val="000000" w:themeColor="text1"/>
        </w:rPr>
        <w:t>occurred when the accused was a child</w:t>
      </w:r>
      <w:r w:rsidR="006C46FD" w:rsidRPr="00AA1E9C">
        <w:rPr>
          <w:rFonts w:ascii="Cambria" w:hAnsi="Cambria"/>
          <w:color w:val="000000" w:themeColor="text1"/>
        </w:rPr>
        <w:t xml:space="preserve">. We therefore recommend </w:t>
      </w:r>
      <w:r w:rsidR="00F9108F" w:rsidRPr="00AA1E9C">
        <w:rPr>
          <w:rFonts w:ascii="Cambria" w:hAnsi="Cambria"/>
          <w:color w:val="000000" w:themeColor="text1"/>
        </w:rPr>
        <w:t>that acts committed</w:t>
      </w:r>
      <w:r w:rsidR="006C46FD" w:rsidRPr="00AA1E9C">
        <w:rPr>
          <w:rFonts w:ascii="Cambria" w:hAnsi="Cambria"/>
          <w:color w:val="000000" w:themeColor="text1"/>
        </w:rPr>
        <w:t xml:space="preserve"> </w:t>
      </w:r>
      <w:r w:rsidR="00F9108F" w:rsidRPr="00AA1E9C">
        <w:rPr>
          <w:rFonts w:ascii="Cambria" w:hAnsi="Cambria"/>
          <w:color w:val="000000" w:themeColor="text1"/>
        </w:rPr>
        <w:t xml:space="preserve">when the accused was a child be excluded </w:t>
      </w:r>
      <w:r w:rsidR="006C46FD" w:rsidRPr="00AA1E9C">
        <w:rPr>
          <w:rFonts w:ascii="Cambria" w:hAnsi="Cambria"/>
          <w:color w:val="000000" w:themeColor="text1"/>
        </w:rPr>
        <w:t xml:space="preserve">from the proposed reforms. </w:t>
      </w:r>
    </w:p>
    <w:p w:rsidR="009F2AD7" w:rsidRPr="00AA1E9C" w:rsidRDefault="009F2AD7" w:rsidP="00530832">
      <w:pPr>
        <w:shd w:val="clear" w:color="auto" w:fill="FFFFFF"/>
        <w:jc w:val="both"/>
        <w:textAlignment w:val="baseline"/>
        <w:rPr>
          <w:rFonts w:ascii="Cambria" w:hAnsi="Cambria"/>
          <w:color w:val="000000" w:themeColor="text1"/>
        </w:rPr>
      </w:pPr>
    </w:p>
    <w:p w:rsidR="009F2AD7" w:rsidRPr="00AA1E9C" w:rsidRDefault="009F2AD7" w:rsidP="00530832">
      <w:pPr>
        <w:shd w:val="clear" w:color="auto" w:fill="FFFFFF"/>
        <w:jc w:val="both"/>
        <w:textAlignment w:val="baseline"/>
        <w:rPr>
          <w:rFonts w:ascii="Cambria" w:hAnsi="Cambria"/>
          <w:color w:val="000000" w:themeColor="text1"/>
        </w:rPr>
      </w:pPr>
      <w:r w:rsidRPr="00AA1E9C">
        <w:rPr>
          <w:rFonts w:ascii="Cambria" w:hAnsi="Cambria"/>
          <w:color w:val="000000" w:themeColor="text1"/>
        </w:rPr>
        <w:t xml:space="preserve">If you have any queries, or we can be of any further assistance, please do not hesitate to contact us. </w:t>
      </w:r>
    </w:p>
    <w:p w:rsidR="009F2AD7" w:rsidRDefault="009F2AD7" w:rsidP="00530832">
      <w:pPr>
        <w:shd w:val="clear" w:color="auto" w:fill="FFFFFF"/>
        <w:jc w:val="both"/>
        <w:textAlignment w:val="baseline"/>
        <w:rPr>
          <w:rFonts w:ascii="Cambria" w:hAnsi="Cambria"/>
          <w:color w:val="000000" w:themeColor="text1"/>
        </w:rPr>
      </w:pPr>
    </w:p>
    <w:p w:rsidR="00AA1E9C" w:rsidRPr="00AA1E9C" w:rsidRDefault="00AA1E9C" w:rsidP="00530832">
      <w:pPr>
        <w:shd w:val="clear" w:color="auto" w:fill="FFFFFF"/>
        <w:jc w:val="both"/>
        <w:textAlignment w:val="baseline"/>
        <w:rPr>
          <w:rFonts w:ascii="Cambria" w:hAnsi="Cambria"/>
          <w:color w:val="000000" w:themeColor="text1"/>
        </w:rPr>
      </w:pPr>
    </w:p>
    <w:p w:rsidR="009F2AD7" w:rsidRPr="00AA1E9C" w:rsidRDefault="009F2AD7" w:rsidP="00530832">
      <w:pPr>
        <w:shd w:val="clear" w:color="auto" w:fill="FFFFFF"/>
        <w:jc w:val="both"/>
        <w:textAlignment w:val="baseline"/>
        <w:rPr>
          <w:rFonts w:ascii="Cambria" w:hAnsi="Cambria"/>
          <w:color w:val="000000" w:themeColor="text1"/>
        </w:rPr>
      </w:pPr>
      <w:r w:rsidRPr="00AA1E9C">
        <w:rPr>
          <w:rFonts w:ascii="Cambria" w:hAnsi="Cambria"/>
          <w:color w:val="000000" w:themeColor="text1"/>
        </w:rPr>
        <w:t>Yours faithfully,</w:t>
      </w:r>
    </w:p>
    <w:p w:rsidR="009F2AD7" w:rsidRPr="00AA1E9C" w:rsidRDefault="009F2AD7" w:rsidP="00530832">
      <w:pPr>
        <w:shd w:val="clear" w:color="auto" w:fill="FFFFFF"/>
        <w:jc w:val="both"/>
        <w:textAlignment w:val="baseline"/>
        <w:rPr>
          <w:rFonts w:ascii="Cambria" w:hAnsi="Cambria"/>
          <w:color w:val="000000" w:themeColor="text1"/>
        </w:rPr>
      </w:pPr>
    </w:p>
    <w:p w:rsidR="009F2AD7" w:rsidRPr="00AA1E9C" w:rsidRDefault="009F2AD7" w:rsidP="00530832">
      <w:pPr>
        <w:shd w:val="clear" w:color="auto" w:fill="FFFFFF"/>
        <w:jc w:val="both"/>
        <w:textAlignment w:val="baseline"/>
        <w:rPr>
          <w:rFonts w:ascii="Cambria" w:hAnsi="Cambria"/>
          <w:color w:val="000000" w:themeColor="text1"/>
        </w:rPr>
      </w:pPr>
    </w:p>
    <w:p w:rsidR="009F2AD7" w:rsidRPr="00AA1E9C" w:rsidRDefault="009F2AD7" w:rsidP="00530832">
      <w:pPr>
        <w:shd w:val="clear" w:color="auto" w:fill="FFFFFF"/>
        <w:jc w:val="both"/>
        <w:textAlignment w:val="baseline"/>
        <w:rPr>
          <w:rFonts w:ascii="Cambria" w:hAnsi="Cambria"/>
          <w:color w:val="000000" w:themeColor="text1"/>
        </w:rPr>
      </w:pPr>
    </w:p>
    <w:p w:rsidR="009F2AD7" w:rsidRPr="00AA1E9C" w:rsidRDefault="009F2AD7" w:rsidP="00530832">
      <w:pPr>
        <w:shd w:val="clear" w:color="auto" w:fill="FFFFFF"/>
        <w:jc w:val="both"/>
        <w:textAlignment w:val="baseline"/>
        <w:rPr>
          <w:rFonts w:ascii="Cambria" w:hAnsi="Cambria"/>
          <w:color w:val="000000" w:themeColor="text1"/>
        </w:rPr>
      </w:pPr>
      <w:r w:rsidRPr="00AA1E9C">
        <w:rPr>
          <w:rFonts w:ascii="Cambria" w:hAnsi="Cambria"/>
          <w:color w:val="000000" w:themeColor="text1"/>
        </w:rPr>
        <w:t xml:space="preserve">Benedict </w:t>
      </w:r>
      <w:proofErr w:type="spellStart"/>
      <w:r w:rsidRPr="00AA1E9C">
        <w:rPr>
          <w:rFonts w:ascii="Cambria" w:hAnsi="Cambria"/>
          <w:color w:val="000000" w:themeColor="text1"/>
        </w:rPr>
        <w:t>Bartl</w:t>
      </w:r>
      <w:proofErr w:type="spellEnd"/>
    </w:p>
    <w:p w:rsidR="009F2AD7" w:rsidRPr="00AA1E9C" w:rsidRDefault="009F2AD7" w:rsidP="00530832">
      <w:pPr>
        <w:shd w:val="clear" w:color="auto" w:fill="FFFFFF"/>
        <w:jc w:val="both"/>
        <w:textAlignment w:val="baseline"/>
        <w:rPr>
          <w:rFonts w:ascii="Cambria" w:hAnsi="Cambria"/>
          <w:color w:val="000000" w:themeColor="text1"/>
        </w:rPr>
      </w:pPr>
      <w:r w:rsidRPr="00AA1E9C">
        <w:rPr>
          <w:rFonts w:ascii="Cambria" w:hAnsi="Cambria"/>
          <w:color w:val="000000" w:themeColor="text1"/>
        </w:rPr>
        <w:t xml:space="preserve">Policy Officer </w:t>
      </w:r>
    </w:p>
    <w:p w:rsidR="009F2AD7" w:rsidRPr="00AA1E9C" w:rsidRDefault="009F2AD7" w:rsidP="00530832">
      <w:pPr>
        <w:pBdr>
          <w:bottom w:val="single" w:sz="6" w:space="1" w:color="auto"/>
        </w:pBdr>
        <w:shd w:val="clear" w:color="auto" w:fill="FFFFFF"/>
        <w:jc w:val="both"/>
        <w:textAlignment w:val="baseline"/>
        <w:rPr>
          <w:rFonts w:ascii="Cambria" w:hAnsi="Cambria"/>
          <w:b/>
          <w:bCs/>
          <w:color w:val="000000" w:themeColor="text1"/>
        </w:rPr>
      </w:pPr>
      <w:r w:rsidRPr="00AA1E9C">
        <w:rPr>
          <w:rFonts w:ascii="Cambria" w:hAnsi="Cambria"/>
          <w:b/>
          <w:bCs/>
          <w:color w:val="000000" w:themeColor="text1"/>
        </w:rPr>
        <w:t>Community Legal Centres Tasmania</w:t>
      </w:r>
    </w:p>
    <w:p w:rsidR="009F2AD7" w:rsidRPr="00AA1E9C" w:rsidRDefault="009F2AD7" w:rsidP="00530832">
      <w:pPr>
        <w:shd w:val="clear" w:color="auto" w:fill="FFFFFF"/>
        <w:jc w:val="both"/>
        <w:textAlignment w:val="baseline"/>
        <w:rPr>
          <w:rFonts w:ascii="Cambria" w:hAnsi="Cambria"/>
          <w:color w:val="000000" w:themeColor="text1"/>
        </w:rPr>
      </w:pPr>
    </w:p>
    <w:p w:rsidR="00F9108F" w:rsidRPr="00AA1E9C" w:rsidRDefault="00F9108F" w:rsidP="00530832">
      <w:pPr>
        <w:shd w:val="clear" w:color="auto" w:fill="FFFFFF"/>
        <w:jc w:val="both"/>
        <w:textAlignment w:val="baseline"/>
        <w:rPr>
          <w:rFonts w:ascii="Cambria" w:hAnsi="Cambria"/>
          <w:color w:val="000000" w:themeColor="text1"/>
        </w:rPr>
      </w:pPr>
    </w:p>
    <w:p w:rsidR="00530832" w:rsidRPr="00AA1E9C" w:rsidRDefault="00530832" w:rsidP="00530832">
      <w:pPr>
        <w:shd w:val="clear" w:color="auto" w:fill="FFFFFF"/>
        <w:textAlignment w:val="baseline"/>
        <w:rPr>
          <w:rFonts w:ascii="Cambria" w:hAnsi="Cambria"/>
          <w:color w:val="000000" w:themeColor="text1"/>
        </w:rPr>
      </w:pPr>
      <w:r w:rsidRPr="00AA1E9C">
        <w:rPr>
          <w:rFonts w:ascii="Cambria" w:hAnsi="Cambria"/>
          <w:color w:val="000000" w:themeColor="text1"/>
        </w:rPr>
        <w:t> </w:t>
      </w:r>
    </w:p>
    <w:p w:rsidR="009828D1" w:rsidRPr="00AA1E9C" w:rsidRDefault="009828D1" w:rsidP="00AD68B7">
      <w:pPr>
        <w:ind w:right="-347"/>
        <w:jc w:val="both"/>
        <w:rPr>
          <w:rFonts w:ascii="Cambria" w:hAnsi="Cambria"/>
          <w:bCs/>
          <w:color w:val="000000" w:themeColor="text1"/>
        </w:rPr>
      </w:pPr>
    </w:p>
    <w:sectPr w:rsidR="009828D1" w:rsidRPr="00AA1E9C" w:rsidSect="00FE7D54">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31886" w:rsidRDefault="00931886" w:rsidP="005E6944">
      <w:r>
        <w:separator/>
      </w:r>
    </w:p>
  </w:endnote>
  <w:endnote w:type="continuationSeparator" w:id="0">
    <w:p w:rsidR="00931886" w:rsidRDefault="00931886" w:rsidP="005E6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93534483"/>
      <w:docPartObj>
        <w:docPartGallery w:val="Page Numbers (Bottom of Page)"/>
        <w:docPartUnique/>
      </w:docPartObj>
    </w:sdtPr>
    <w:sdtContent>
      <w:p w:rsidR="009F2AD7" w:rsidRDefault="009F2AD7" w:rsidP="00FA2E9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9F2AD7" w:rsidRDefault="009F2AD7" w:rsidP="009F2A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51228966"/>
      <w:docPartObj>
        <w:docPartGallery w:val="Page Numbers (Bottom of Page)"/>
        <w:docPartUnique/>
      </w:docPartObj>
    </w:sdtPr>
    <w:sdtContent>
      <w:p w:rsidR="009F2AD7" w:rsidRDefault="009F2AD7" w:rsidP="00FA2E9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9F2AD7" w:rsidRDefault="009F2AD7" w:rsidP="009F2AD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31886" w:rsidRDefault="00931886" w:rsidP="005E6944">
      <w:r>
        <w:separator/>
      </w:r>
    </w:p>
  </w:footnote>
  <w:footnote w:type="continuationSeparator" w:id="0">
    <w:p w:rsidR="00931886" w:rsidRDefault="00931886" w:rsidP="005E6944">
      <w:r>
        <w:continuationSeparator/>
      </w:r>
    </w:p>
  </w:footnote>
  <w:footnote w:id="1">
    <w:p w:rsidR="005E6944" w:rsidRPr="004E3D12" w:rsidRDefault="005E6944" w:rsidP="005E6944">
      <w:pPr>
        <w:pStyle w:val="FootnoteText"/>
        <w:rPr>
          <w:rFonts w:ascii="Cambria" w:hAnsi="Cambria"/>
          <w:sz w:val="20"/>
          <w:szCs w:val="20"/>
          <w:lang w:val="en-AU"/>
        </w:rPr>
      </w:pPr>
      <w:r w:rsidRPr="004E3D12">
        <w:rPr>
          <w:rStyle w:val="FootnoteReference"/>
          <w:rFonts w:ascii="Cambria" w:hAnsi="Cambria"/>
          <w:sz w:val="20"/>
          <w:szCs w:val="20"/>
        </w:rPr>
        <w:footnoteRef/>
      </w:r>
      <w:r w:rsidRPr="004E3D12">
        <w:rPr>
          <w:rFonts w:ascii="Cambria" w:hAnsi="Cambria"/>
          <w:sz w:val="20"/>
          <w:szCs w:val="20"/>
        </w:rPr>
        <w:t xml:space="preserve"> </w:t>
      </w:r>
      <w:r w:rsidRPr="004E3D12">
        <w:rPr>
          <w:rFonts w:ascii="Cambria" w:hAnsi="Cambria"/>
          <w:color w:val="000000" w:themeColor="text1"/>
          <w:sz w:val="20"/>
          <w:szCs w:val="20"/>
        </w:rPr>
        <w:t xml:space="preserve">CLC Tas would like to acknowledge those persons and </w:t>
      </w:r>
      <w:proofErr w:type="spellStart"/>
      <w:r w:rsidRPr="004E3D12">
        <w:rPr>
          <w:rFonts w:ascii="Cambria" w:hAnsi="Cambria"/>
          <w:color w:val="000000" w:themeColor="text1"/>
          <w:sz w:val="20"/>
          <w:szCs w:val="20"/>
        </w:rPr>
        <w:t>organisations</w:t>
      </w:r>
      <w:proofErr w:type="spellEnd"/>
      <w:r w:rsidRPr="004E3D12">
        <w:rPr>
          <w:rFonts w:ascii="Cambria" w:hAnsi="Cambria"/>
          <w:color w:val="000000" w:themeColor="text1"/>
          <w:sz w:val="20"/>
          <w:szCs w:val="20"/>
        </w:rPr>
        <w:t xml:space="preserve"> who gave freely of their time in assisting with our submission. </w:t>
      </w:r>
    </w:p>
  </w:footnote>
  <w:footnote w:id="2">
    <w:p w:rsidR="000240FD" w:rsidRPr="004E3D12" w:rsidRDefault="000240FD" w:rsidP="00170139">
      <w:pPr>
        <w:pStyle w:val="NoSpacing"/>
        <w:rPr>
          <w:rFonts w:ascii="Cambria" w:hAnsi="Cambria"/>
          <w:sz w:val="20"/>
          <w:szCs w:val="20"/>
        </w:rPr>
      </w:pPr>
      <w:r w:rsidRPr="004E3D12">
        <w:rPr>
          <w:rStyle w:val="FootnoteReference"/>
          <w:rFonts w:ascii="Cambria" w:hAnsi="Cambria"/>
          <w:sz w:val="20"/>
          <w:szCs w:val="20"/>
        </w:rPr>
        <w:footnoteRef/>
      </w:r>
      <w:r w:rsidRPr="004E3D12">
        <w:rPr>
          <w:rFonts w:ascii="Cambria" w:hAnsi="Cambria"/>
          <w:sz w:val="20"/>
          <w:szCs w:val="20"/>
        </w:rPr>
        <w:t xml:space="preserve"> </w:t>
      </w:r>
      <w:r w:rsidR="008131C2" w:rsidRPr="004E3D12">
        <w:rPr>
          <w:rFonts w:ascii="Cambria" w:hAnsi="Cambria"/>
          <w:sz w:val="20"/>
          <w:szCs w:val="20"/>
        </w:rPr>
        <w:t xml:space="preserve">Commission of Inquiry into the Tasmanian Government’s Responses to Child Sexual Abuse in Institutional Settings, </w:t>
      </w:r>
      <w:r w:rsidR="008131C2" w:rsidRPr="004E3D12">
        <w:rPr>
          <w:rFonts w:ascii="Cambria" w:hAnsi="Cambria"/>
          <w:i/>
          <w:iCs/>
          <w:sz w:val="20"/>
          <w:szCs w:val="20"/>
        </w:rPr>
        <w:t>Who was looking after me? Prioritising the safety of Tasmanian children</w:t>
      </w:r>
      <w:r w:rsidR="008131C2" w:rsidRPr="004E3D12">
        <w:rPr>
          <w:rFonts w:ascii="Cambria" w:hAnsi="Cambria"/>
          <w:sz w:val="20"/>
          <w:szCs w:val="20"/>
        </w:rPr>
        <w:t xml:space="preserve"> - Volume 7: The justice system and victim-survivors (August 2023) at 135.   </w:t>
      </w:r>
    </w:p>
  </w:footnote>
  <w:footnote w:id="3">
    <w:p w:rsidR="00170139" w:rsidRPr="004E3D12" w:rsidRDefault="00170139">
      <w:pPr>
        <w:pStyle w:val="FootnoteText"/>
        <w:rPr>
          <w:rFonts w:ascii="Cambria" w:hAnsi="Cambria"/>
          <w:sz w:val="20"/>
          <w:szCs w:val="20"/>
          <w:lang w:val="en-AU"/>
        </w:rPr>
      </w:pPr>
      <w:r w:rsidRPr="004E3D12">
        <w:rPr>
          <w:rStyle w:val="FootnoteReference"/>
          <w:rFonts w:ascii="Cambria" w:hAnsi="Cambria"/>
          <w:sz w:val="20"/>
          <w:szCs w:val="20"/>
        </w:rPr>
        <w:footnoteRef/>
      </w:r>
      <w:r w:rsidR="00AA1E9C">
        <w:rPr>
          <w:rFonts w:ascii="Cambria" w:hAnsi="Cambria"/>
          <w:sz w:val="20"/>
          <w:szCs w:val="20"/>
        </w:rPr>
        <w:t xml:space="preserve"> Ibid</w:t>
      </w:r>
      <w:r w:rsidRPr="004E3D12">
        <w:rPr>
          <w:rFonts w:ascii="Cambria" w:hAnsi="Cambria"/>
          <w:sz w:val="20"/>
          <w:szCs w:val="20"/>
        </w:rPr>
        <w:t>, recommendation 17.4</w:t>
      </w:r>
      <w:r w:rsidRPr="004E3D12">
        <w:rPr>
          <w:rFonts w:ascii="Cambria" w:hAnsi="Cambria"/>
          <w:sz w:val="20"/>
          <w:szCs w:val="20"/>
        </w:rPr>
        <w:t xml:space="preserve">.   </w:t>
      </w:r>
    </w:p>
  </w:footnote>
  <w:footnote w:id="4">
    <w:p w:rsidR="007C350C" w:rsidRPr="004E3D12" w:rsidRDefault="007C350C" w:rsidP="00170139">
      <w:pPr>
        <w:ind w:right="-347"/>
        <w:rPr>
          <w:rFonts w:ascii="Cambria" w:hAnsi="Cambria"/>
          <w:bCs/>
          <w:color w:val="000000" w:themeColor="text1"/>
          <w:sz w:val="20"/>
          <w:szCs w:val="20"/>
        </w:rPr>
      </w:pPr>
      <w:r w:rsidRPr="004E3D12">
        <w:rPr>
          <w:rStyle w:val="FootnoteReference"/>
          <w:rFonts w:ascii="Cambria" w:hAnsi="Cambria"/>
          <w:sz w:val="20"/>
          <w:szCs w:val="20"/>
        </w:rPr>
        <w:footnoteRef/>
      </w:r>
      <w:r w:rsidRPr="004E3D12">
        <w:rPr>
          <w:rFonts w:ascii="Cambria" w:hAnsi="Cambria"/>
          <w:sz w:val="20"/>
          <w:szCs w:val="20"/>
        </w:rPr>
        <w:t xml:space="preserve"> </w:t>
      </w:r>
      <w:r w:rsidR="00070257" w:rsidRPr="004E3D12">
        <w:rPr>
          <w:rFonts w:ascii="Cambria" w:hAnsi="Cambria" w:cs="Arial"/>
          <w:color w:val="000000" w:themeColor="text1"/>
          <w:sz w:val="20"/>
          <w:szCs w:val="20"/>
        </w:rPr>
        <w:t xml:space="preserve">Section 14J of the </w:t>
      </w:r>
      <w:r w:rsidR="00070257" w:rsidRPr="004E3D12">
        <w:rPr>
          <w:rFonts w:ascii="Cambria" w:hAnsi="Cambria" w:cs="Arial"/>
          <w:i/>
          <w:iCs/>
          <w:color w:val="000000" w:themeColor="text1"/>
          <w:sz w:val="20"/>
          <w:szCs w:val="20"/>
        </w:rPr>
        <w:t>Wrongs Act 1958</w:t>
      </w:r>
      <w:r w:rsidR="00070257" w:rsidRPr="004E3D12">
        <w:rPr>
          <w:rFonts w:ascii="Cambria" w:hAnsi="Cambria" w:cs="Arial"/>
          <w:color w:val="000000" w:themeColor="text1"/>
          <w:sz w:val="20"/>
          <w:szCs w:val="20"/>
        </w:rPr>
        <w:t xml:space="preserve"> (Vic); Part 2.3 of the </w:t>
      </w:r>
      <w:r w:rsidR="00070257" w:rsidRPr="004E3D12">
        <w:rPr>
          <w:rFonts w:ascii="Cambria" w:hAnsi="Cambria" w:cs="Arial"/>
          <w:i/>
          <w:iCs/>
          <w:color w:val="000000" w:themeColor="text1"/>
          <w:sz w:val="20"/>
          <w:szCs w:val="20"/>
        </w:rPr>
        <w:t>Civil Law (Wrongs) Act 2002</w:t>
      </w:r>
      <w:r w:rsidR="00070257" w:rsidRPr="004E3D12">
        <w:rPr>
          <w:rFonts w:ascii="Cambria" w:hAnsi="Cambria" w:cs="Arial"/>
          <w:color w:val="000000" w:themeColor="text1"/>
          <w:sz w:val="20"/>
          <w:szCs w:val="20"/>
        </w:rPr>
        <w:t xml:space="preserve"> (ACT); Part 10 of the </w:t>
      </w:r>
      <w:r w:rsidR="00070257" w:rsidRPr="004E3D12">
        <w:rPr>
          <w:rFonts w:ascii="Cambria" w:hAnsi="Cambria" w:cs="Arial"/>
          <w:i/>
          <w:iCs/>
          <w:color w:val="000000" w:themeColor="text1"/>
          <w:sz w:val="20"/>
          <w:szCs w:val="20"/>
        </w:rPr>
        <w:t>Civil Liability Act 2002</w:t>
      </w:r>
      <w:r w:rsidR="00070257" w:rsidRPr="004E3D12">
        <w:rPr>
          <w:rFonts w:ascii="Cambria" w:hAnsi="Cambria" w:cs="Arial"/>
          <w:color w:val="000000" w:themeColor="text1"/>
          <w:sz w:val="20"/>
          <w:szCs w:val="20"/>
        </w:rPr>
        <w:t xml:space="preserve"> (NSW); Part 1A of the </w:t>
      </w:r>
      <w:r w:rsidR="00070257" w:rsidRPr="004E3D12">
        <w:rPr>
          <w:rFonts w:ascii="Cambria" w:hAnsi="Cambria" w:cs="Arial"/>
          <w:i/>
          <w:iCs/>
          <w:color w:val="000000" w:themeColor="text1"/>
          <w:sz w:val="20"/>
          <w:szCs w:val="20"/>
        </w:rPr>
        <w:t>Civil Liability Act 2003</w:t>
      </w:r>
      <w:r w:rsidR="00070257" w:rsidRPr="004E3D12">
        <w:rPr>
          <w:rFonts w:ascii="Cambria" w:hAnsi="Cambria" w:cs="Arial"/>
          <w:color w:val="000000" w:themeColor="text1"/>
          <w:sz w:val="20"/>
          <w:szCs w:val="20"/>
        </w:rPr>
        <w:t xml:space="preserve"> (Qld); Division 12 of the </w:t>
      </w:r>
      <w:r w:rsidR="00070257" w:rsidRPr="004E3D12">
        <w:rPr>
          <w:rFonts w:ascii="Cambria" w:hAnsi="Cambria"/>
          <w:bCs/>
          <w:i/>
          <w:iCs/>
          <w:color w:val="000000" w:themeColor="text1"/>
          <w:sz w:val="20"/>
          <w:szCs w:val="20"/>
        </w:rPr>
        <w:t>Civil Liability Act 1936</w:t>
      </w:r>
      <w:r w:rsidR="00070257" w:rsidRPr="004E3D12">
        <w:rPr>
          <w:rFonts w:ascii="Cambria" w:hAnsi="Cambria"/>
          <w:bCs/>
          <w:color w:val="000000" w:themeColor="text1"/>
          <w:sz w:val="20"/>
          <w:szCs w:val="20"/>
        </w:rPr>
        <w:t xml:space="preserve"> (SA); Part 1E of the </w:t>
      </w:r>
      <w:r w:rsidR="00070257" w:rsidRPr="004E3D12">
        <w:rPr>
          <w:rFonts w:ascii="Cambria" w:hAnsi="Cambria"/>
          <w:bCs/>
          <w:i/>
          <w:iCs/>
          <w:color w:val="000000" w:themeColor="text1"/>
          <w:sz w:val="20"/>
          <w:szCs w:val="20"/>
        </w:rPr>
        <w:t>Civil Liability Act 2002</w:t>
      </w:r>
      <w:r w:rsidR="00070257" w:rsidRPr="004E3D12">
        <w:rPr>
          <w:rFonts w:ascii="Cambria" w:hAnsi="Cambria"/>
          <w:bCs/>
          <w:color w:val="000000" w:themeColor="text1"/>
          <w:sz w:val="20"/>
          <w:szCs w:val="20"/>
        </w:rPr>
        <w:t xml:space="preserve"> (WA). </w:t>
      </w:r>
    </w:p>
  </w:footnote>
  <w:footnote w:id="5">
    <w:p w:rsidR="004F0732" w:rsidRPr="004E3D12" w:rsidRDefault="004F0732">
      <w:pPr>
        <w:pStyle w:val="FootnoteText"/>
        <w:rPr>
          <w:rFonts w:ascii="Cambria" w:hAnsi="Cambria"/>
          <w:sz w:val="20"/>
          <w:szCs w:val="20"/>
          <w:lang w:val="en-AU"/>
        </w:rPr>
      </w:pPr>
      <w:r w:rsidRPr="004E3D12">
        <w:rPr>
          <w:rStyle w:val="FootnoteReference"/>
          <w:rFonts w:ascii="Cambria" w:hAnsi="Cambria"/>
          <w:sz w:val="20"/>
          <w:szCs w:val="20"/>
        </w:rPr>
        <w:footnoteRef/>
      </w:r>
      <w:r w:rsidRPr="004E3D12">
        <w:rPr>
          <w:rFonts w:ascii="Cambria" w:hAnsi="Cambria"/>
          <w:sz w:val="20"/>
          <w:szCs w:val="20"/>
        </w:rPr>
        <w:t xml:space="preserve"> </w:t>
      </w:r>
      <w:r w:rsidRPr="004E3D12">
        <w:rPr>
          <w:rFonts w:ascii="Cambria" w:hAnsi="Cambria"/>
          <w:sz w:val="20"/>
          <w:szCs w:val="20"/>
          <w:lang w:val="en-AU"/>
        </w:rPr>
        <w:t xml:space="preserve">Section 49C of the </w:t>
      </w:r>
      <w:r w:rsidRPr="004E3D12">
        <w:rPr>
          <w:rFonts w:ascii="Cambria" w:hAnsi="Cambria"/>
          <w:i/>
          <w:iCs/>
          <w:sz w:val="20"/>
          <w:szCs w:val="20"/>
          <w:lang w:val="en-AU"/>
        </w:rPr>
        <w:t>Civil Liability Act 2002</w:t>
      </w:r>
      <w:r w:rsidRPr="004E3D12">
        <w:rPr>
          <w:rFonts w:ascii="Cambria" w:hAnsi="Cambria"/>
          <w:sz w:val="20"/>
          <w:szCs w:val="20"/>
          <w:lang w:val="en-AU"/>
        </w:rPr>
        <w:t xml:space="preserve"> (Tas)</w:t>
      </w:r>
      <w:r w:rsidR="008763F5" w:rsidRPr="004E3D12">
        <w:rPr>
          <w:rFonts w:ascii="Cambria" w:hAnsi="Cambria"/>
          <w:sz w:val="20"/>
          <w:szCs w:val="20"/>
          <w:lang w:val="en-AU"/>
        </w:rPr>
        <w:t xml:space="preserve">. </w:t>
      </w:r>
      <w:r w:rsidRPr="004E3D12">
        <w:rPr>
          <w:rFonts w:ascii="Cambria" w:hAnsi="Cambria"/>
          <w:sz w:val="20"/>
          <w:szCs w:val="20"/>
          <w:lang w:val="en-AU"/>
        </w:rPr>
        <w:t xml:space="preserve"> </w:t>
      </w:r>
    </w:p>
  </w:footnote>
  <w:footnote w:id="6">
    <w:p w:rsidR="00F845E0" w:rsidRPr="004E3D12" w:rsidRDefault="00F845E0" w:rsidP="00F845E0">
      <w:pPr>
        <w:pStyle w:val="FootnoteText"/>
        <w:rPr>
          <w:rFonts w:ascii="Cambria" w:hAnsi="Cambria"/>
          <w:sz w:val="20"/>
          <w:szCs w:val="20"/>
          <w:lang w:val="en-AU"/>
        </w:rPr>
      </w:pPr>
      <w:r w:rsidRPr="004E3D12">
        <w:rPr>
          <w:rStyle w:val="FootnoteReference"/>
          <w:rFonts w:ascii="Cambria" w:hAnsi="Cambria"/>
          <w:sz w:val="20"/>
          <w:szCs w:val="20"/>
        </w:rPr>
        <w:footnoteRef/>
      </w:r>
      <w:r w:rsidRPr="004E3D12">
        <w:rPr>
          <w:rFonts w:ascii="Cambria" w:hAnsi="Cambria"/>
          <w:sz w:val="20"/>
          <w:szCs w:val="20"/>
        </w:rPr>
        <w:t xml:space="preserve"> Section 49N(3) of the </w:t>
      </w:r>
      <w:r w:rsidRPr="004E3D12">
        <w:rPr>
          <w:rFonts w:ascii="Cambria" w:hAnsi="Cambria"/>
          <w:i/>
          <w:iCs/>
          <w:sz w:val="20"/>
          <w:szCs w:val="20"/>
        </w:rPr>
        <w:t>Civil Liability Act 2002</w:t>
      </w:r>
      <w:r w:rsidRPr="004E3D12">
        <w:rPr>
          <w:rFonts w:ascii="Cambria" w:hAnsi="Cambria"/>
          <w:sz w:val="20"/>
          <w:szCs w:val="20"/>
        </w:rPr>
        <w:t xml:space="preserve"> (Tas) provides that where proceedings are brought against an unincorporated </w:t>
      </w:r>
      <w:proofErr w:type="spellStart"/>
      <w:r w:rsidRPr="004E3D12">
        <w:rPr>
          <w:rFonts w:ascii="Cambria" w:hAnsi="Cambria"/>
          <w:sz w:val="20"/>
          <w:szCs w:val="20"/>
        </w:rPr>
        <w:t>organisation</w:t>
      </w:r>
      <w:proofErr w:type="spellEnd"/>
      <w:r w:rsidRPr="004E3D12">
        <w:rPr>
          <w:rFonts w:ascii="Cambria" w:hAnsi="Cambria"/>
          <w:sz w:val="20"/>
          <w:szCs w:val="20"/>
        </w:rPr>
        <w:t xml:space="preserve"> -which is defined as including government departments- the State is taken to be appointed as the proper defendant.    </w:t>
      </w:r>
    </w:p>
  </w:footnote>
  <w:footnote w:id="7">
    <w:p w:rsidR="0013125D" w:rsidRPr="004E3D12" w:rsidRDefault="0013125D">
      <w:pPr>
        <w:pStyle w:val="FootnoteText"/>
        <w:rPr>
          <w:rFonts w:ascii="Cambria" w:hAnsi="Cambria"/>
          <w:sz w:val="20"/>
          <w:szCs w:val="20"/>
          <w:lang w:val="en-AU"/>
        </w:rPr>
      </w:pPr>
      <w:r w:rsidRPr="004E3D12">
        <w:rPr>
          <w:rStyle w:val="FootnoteReference"/>
          <w:rFonts w:ascii="Cambria" w:hAnsi="Cambria"/>
          <w:sz w:val="20"/>
          <w:szCs w:val="20"/>
        </w:rPr>
        <w:footnoteRef/>
      </w:r>
      <w:r w:rsidRPr="004E3D12">
        <w:rPr>
          <w:rFonts w:ascii="Cambria" w:hAnsi="Cambria"/>
          <w:sz w:val="20"/>
          <w:szCs w:val="20"/>
        </w:rPr>
        <w:t xml:space="preserve"> </w:t>
      </w:r>
      <w:r w:rsidRPr="004E3D12">
        <w:rPr>
          <w:rFonts w:ascii="Cambria" w:hAnsi="Cambria"/>
          <w:sz w:val="20"/>
          <w:szCs w:val="20"/>
          <w:lang w:val="en-AU"/>
        </w:rPr>
        <w:t>Queensland Department of Justice and Attorney-General, Whole-of-Government guidelines for responding to civil litigation involving child abuse (</w:t>
      </w:r>
      <w:r w:rsidR="00833A6A" w:rsidRPr="004E3D12">
        <w:rPr>
          <w:rFonts w:ascii="Cambria" w:hAnsi="Cambria"/>
          <w:sz w:val="20"/>
          <w:szCs w:val="20"/>
          <w:lang w:val="en-AU"/>
        </w:rPr>
        <w:t>November</w:t>
      </w:r>
      <w:r w:rsidRPr="004E3D12">
        <w:rPr>
          <w:rFonts w:ascii="Cambria" w:hAnsi="Cambria"/>
          <w:sz w:val="20"/>
          <w:szCs w:val="20"/>
          <w:lang w:val="en-AU"/>
        </w:rPr>
        <w:t xml:space="preserve"> 202</w:t>
      </w:r>
      <w:r w:rsidR="00833A6A" w:rsidRPr="004E3D12">
        <w:rPr>
          <w:rFonts w:ascii="Cambria" w:hAnsi="Cambria"/>
          <w:sz w:val="20"/>
          <w:szCs w:val="20"/>
          <w:lang w:val="en-AU"/>
        </w:rPr>
        <w:t>2</w:t>
      </w:r>
      <w:r w:rsidRPr="004E3D12">
        <w:rPr>
          <w:rFonts w:ascii="Cambria" w:hAnsi="Cambria"/>
          <w:sz w:val="20"/>
          <w:szCs w:val="20"/>
          <w:lang w:val="en-AU"/>
        </w:rPr>
        <w:t xml:space="preserve">). As found at </w:t>
      </w:r>
      <w:hyperlink r:id="rId1" w:history="1">
        <w:r w:rsidR="00833A6A" w:rsidRPr="004E3D12">
          <w:rPr>
            <w:rStyle w:val="Hyperlink"/>
            <w:rFonts w:ascii="Cambria" w:hAnsi="Cambria"/>
            <w:sz w:val="20"/>
            <w:szCs w:val="20"/>
            <w:lang w:val="en-AU"/>
          </w:rPr>
          <w:t>https://www.justice.qld.gov.au/about-us/services/general-counsel/legal-services-coordination-unit/legal-service-directions-and-guidelines/whole-of-government-guidelines-for-responding-to-civil-litigation-involving-child-abuse</w:t>
        </w:r>
      </w:hyperlink>
      <w:r w:rsidR="00833A6A" w:rsidRPr="004E3D12">
        <w:rPr>
          <w:rFonts w:ascii="Cambria" w:hAnsi="Cambria"/>
          <w:sz w:val="20"/>
          <w:szCs w:val="20"/>
          <w:lang w:val="en-AU"/>
        </w:rPr>
        <w:t xml:space="preserve"> (Accessed 5 June 2024).</w:t>
      </w:r>
    </w:p>
  </w:footnote>
  <w:footnote w:id="8">
    <w:p w:rsidR="00321148" w:rsidRPr="004E3D12" w:rsidRDefault="00321148">
      <w:pPr>
        <w:pStyle w:val="FootnoteText"/>
        <w:rPr>
          <w:rFonts w:ascii="Cambria" w:hAnsi="Cambria"/>
          <w:sz w:val="20"/>
          <w:szCs w:val="20"/>
          <w:lang w:val="en-AU"/>
        </w:rPr>
      </w:pPr>
      <w:r w:rsidRPr="004E3D12">
        <w:rPr>
          <w:rStyle w:val="FootnoteReference"/>
          <w:rFonts w:ascii="Cambria" w:hAnsi="Cambria"/>
          <w:sz w:val="20"/>
          <w:szCs w:val="20"/>
        </w:rPr>
        <w:footnoteRef/>
      </w:r>
      <w:r w:rsidRPr="004E3D12">
        <w:rPr>
          <w:rFonts w:ascii="Cambria" w:hAnsi="Cambria"/>
          <w:sz w:val="20"/>
          <w:szCs w:val="20"/>
        </w:rPr>
        <w:t xml:space="preserve"> </w:t>
      </w:r>
      <w:r w:rsidRPr="004E3D12">
        <w:rPr>
          <w:rFonts w:ascii="Cambria" w:hAnsi="Cambria"/>
          <w:i/>
          <w:iCs/>
          <w:color w:val="000000" w:themeColor="text1"/>
          <w:sz w:val="20"/>
          <w:szCs w:val="20"/>
          <w:shd w:val="clear" w:color="auto" w:fill="FFFFFF"/>
        </w:rPr>
        <w:t>Royal Commission into Institutional Responses to Child Sexual Abuse</w:t>
      </w:r>
      <w:r w:rsidR="00DD558B" w:rsidRPr="004E3D12">
        <w:rPr>
          <w:rFonts w:ascii="Cambria" w:hAnsi="Cambria"/>
          <w:i/>
          <w:iCs/>
          <w:color w:val="000000" w:themeColor="text1"/>
          <w:sz w:val="20"/>
          <w:szCs w:val="20"/>
          <w:shd w:val="clear" w:color="auto" w:fill="FFFFFF"/>
        </w:rPr>
        <w:t xml:space="preserve"> - </w:t>
      </w:r>
      <w:r w:rsidRPr="004E3D12">
        <w:rPr>
          <w:rFonts w:ascii="Cambria" w:hAnsi="Cambria"/>
          <w:i/>
          <w:iCs/>
          <w:color w:val="000000" w:themeColor="text1"/>
          <w:sz w:val="20"/>
          <w:szCs w:val="20"/>
          <w:shd w:val="clear" w:color="auto" w:fill="FFFFFF"/>
        </w:rPr>
        <w:t xml:space="preserve">Redress and </w:t>
      </w:r>
      <w:r w:rsidR="00DD558B" w:rsidRPr="004E3D12">
        <w:rPr>
          <w:rFonts w:ascii="Cambria" w:hAnsi="Cambria"/>
          <w:i/>
          <w:iCs/>
          <w:color w:val="000000" w:themeColor="text1"/>
          <w:sz w:val="20"/>
          <w:szCs w:val="20"/>
          <w:shd w:val="clear" w:color="auto" w:fill="FFFFFF"/>
        </w:rPr>
        <w:t>C</w:t>
      </w:r>
      <w:r w:rsidRPr="004E3D12">
        <w:rPr>
          <w:rFonts w:ascii="Cambria" w:hAnsi="Cambria"/>
          <w:i/>
          <w:iCs/>
          <w:color w:val="000000" w:themeColor="text1"/>
          <w:sz w:val="20"/>
          <w:szCs w:val="20"/>
          <w:shd w:val="clear" w:color="auto" w:fill="FFFFFF"/>
        </w:rPr>
        <w:t xml:space="preserve">ivil </w:t>
      </w:r>
      <w:r w:rsidR="00DD558B" w:rsidRPr="004E3D12">
        <w:rPr>
          <w:rFonts w:ascii="Cambria" w:hAnsi="Cambria"/>
          <w:i/>
          <w:iCs/>
          <w:color w:val="000000" w:themeColor="text1"/>
          <w:sz w:val="20"/>
          <w:szCs w:val="20"/>
          <w:shd w:val="clear" w:color="auto" w:fill="FFFFFF"/>
        </w:rPr>
        <w:t>L</w:t>
      </w:r>
      <w:r w:rsidRPr="004E3D12">
        <w:rPr>
          <w:rFonts w:ascii="Cambria" w:hAnsi="Cambria"/>
          <w:i/>
          <w:iCs/>
          <w:color w:val="000000" w:themeColor="text1"/>
          <w:sz w:val="20"/>
          <w:szCs w:val="20"/>
          <w:shd w:val="clear" w:color="auto" w:fill="FFFFFF"/>
        </w:rPr>
        <w:t xml:space="preserve">itigation </w:t>
      </w:r>
      <w:r w:rsidR="00DD558B" w:rsidRPr="004E3D12">
        <w:rPr>
          <w:rFonts w:ascii="Cambria" w:hAnsi="Cambria"/>
          <w:i/>
          <w:iCs/>
          <w:color w:val="000000" w:themeColor="text1"/>
          <w:sz w:val="20"/>
          <w:szCs w:val="20"/>
          <w:shd w:val="clear" w:color="auto" w:fill="FFFFFF"/>
        </w:rPr>
        <w:t>R</w:t>
      </w:r>
      <w:r w:rsidRPr="004E3D12">
        <w:rPr>
          <w:rFonts w:ascii="Cambria" w:hAnsi="Cambria"/>
          <w:i/>
          <w:iCs/>
          <w:color w:val="000000" w:themeColor="text1"/>
          <w:sz w:val="20"/>
          <w:szCs w:val="20"/>
          <w:shd w:val="clear" w:color="auto" w:fill="FFFFFF"/>
        </w:rPr>
        <w:t>eport</w:t>
      </w:r>
      <w:r w:rsidRPr="004E3D12">
        <w:rPr>
          <w:rFonts w:ascii="Cambria" w:hAnsi="Cambria"/>
          <w:color w:val="000000" w:themeColor="text1"/>
          <w:sz w:val="20"/>
          <w:szCs w:val="20"/>
          <w:shd w:val="clear" w:color="auto" w:fill="FFFFFF"/>
        </w:rPr>
        <w:t xml:space="preserve"> </w:t>
      </w:r>
      <w:r w:rsidR="00DD558B" w:rsidRPr="004E3D12">
        <w:rPr>
          <w:rFonts w:ascii="Cambria" w:hAnsi="Cambria"/>
          <w:color w:val="000000" w:themeColor="text1"/>
          <w:sz w:val="20"/>
          <w:szCs w:val="20"/>
          <w:shd w:val="clear" w:color="auto" w:fill="FFFFFF"/>
        </w:rPr>
        <w:t xml:space="preserve">(Commonwealth Government: </w:t>
      </w:r>
      <w:r w:rsidRPr="004E3D12">
        <w:rPr>
          <w:rFonts w:ascii="Cambria" w:hAnsi="Cambria"/>
          <w:color w:val="000000" w:themeColor="text1"/>
          <w:sz w:val="20"/>
          <w:szCs w:val="20"/>
          <w:shd w:val="clear" w:color="auto" w:fill="FFFFFF"/>
        </w:rPr>
        <w:t>2015</w:t>
      </w:r>
      <w:r w:rsidR="00DD558B" w:rsidRPr="004E3D12">
        <w:rPr>
          <w:rFonts w:ascii="Cambria" w:hAnsi="Cambria"/>
          <w:color w:val="000000" w:themeColor="text1"/>
          <w:sz w:val="20"/>
          <w:szCs w:val="20"/>
          <w:shd w:val="clear" w:color="auto" w:fill="FFFFFF"/>
        </w:rPr>
        <w:t>) at 60</w:t>
      </w:r>
      <w:r w:rsidRPr="004E3D12">
        <w:rPr>
          <w:rFonts w:ascii="Cambria" w:hAnsi="Cambria"/>
          <w:color w:val="000000" w:themeColor="text1"/>
          <w:sz w:val="20"/>
          <w:szCs w:val="20"/>
          <w:shd w:val="clear" w:color="auto" w:fill="FFFFFF"/>
        </w:rPr>
        <w:t>.</w:t>
      </w:r>
    </w:p>
  </w:footnote>
  <w:footnote w:id="9">
    <w:p w:rsidR="00F73F18" w:rsidRPr="004E3D12" w:rsidRDefault="00F73F18">
      <w:pPr>
        <w:pStyle w:val="FootnoteText"/>
        <w:rPr>
          <w:rFonts w:ascii="Cambria" w:hAnsi="Cambria"/>
          <w:sz w:val="20"/>
          <w:szCs w:val="20"/>
          <w:lang w:val="en-AU"/>
        </w:rPr>
      </w:pPr>
      <w:r w:rsidRPr="004E3D12">
        <w:rPr>
          <w:rStyle w:val="FootnoteReference"/>
          <w:rFonts w:ascii="Cambria" w:hAnsi="Cambria"/>
          <w:sz w:val="20"/>
          <w:szCs w:val="20"/>
        </w:rPr>
        <w:footnoteRef/>
      </w:r>
      <w:r w:rsidRPr="004E3D12">
        <w:rPr>
          <w:rFonts w:ascii="Cambria" w:hAnsi="Cambria"/>
          <w:sz w:val="20"/>
          <w:szCs w:val="20"/>
        </w:rPr>
        <w:t xml:space="preserve"> </w:t>
      </w:r>
      <w:r w:rsidR="00AA1E9C" w:rsidRPr="004E3D12">
        <w:rPr>
          <w:rFonts w:ascii="Cambria" w:hAnsi="Cambria"/>
          <w:sz w:val="20"/>
          <w:szCs w:val="20"/>
        </w:rPr>
        <w:t xml:space="preserve">Commission of Inquiry into the Tasmanian Government’s Responses to Child Sexual Abuse in Institutional Settings, </w:t>
      </w:r>
      <w:r w:rsidR="00AA1E9C" w:rsidRPr="004E3D12">
        <w:rPr>
          <w:rFonts w:ascii="Cambria" w:hAnsi="Cambria"/>
          <w:i/>
          <w:iCs/>
          <w:sz w:val="20"/>
          <w:szCs w:val="20"/>
        </w:rPr>
        <w:t xml:space="preserve">Who was looking after me? </w:t>
      </w:r>
      <w:proofErr w:type="spellStart"/>
      <w:r w:rsidR="00AA1E9C" w:rsidRPr="004E3D12">
        <w:rPr>
          <w:rFonts w:ascii="Cambria" w:hAnsi="Cambria"/>
          <w:i/>
          <w:iCs/>
          <w:sz w:val="20"/>
          <w:szCs w:val="20"/>
        </w:rPr>
        <w:t>Prioritising</w:t>
      </w:r>
      <w:proofErr w:type="spellEnd"/>
      <w:r w:rsidR="00AA1E9C" w:rsidRPr="004E3D12">
        <w:rPr>
          <w:rFonts w:ascii="Cambria" w:hAnsi="Cambria"/>
          <w:i/>
          <w:iCs/>
          <w:sz w:val="20"/>
          <w:szCs w:val="20"/>
        </w:rPr>
        <w:t xml:space="preserve"> the safety of Tasmanian children</w:t>
      </w:r>
      <w:r w:rsidR="00AA1E9C" w:rsidRPr="004E3D12">
        <w:rPr>
          <w:rFonts w:ascii="Cambria" w:hAnsi="Cambria"/>
          <w:sz w:val="20"/>
          <w:szCs w:val="20"/>
        </w:rPr>
        <w:t xml:space="preserve"> - Volume 7: The justice system and victim-survivors (August 2023)</w:t>
      </w:r>
      <w:r w:rsidR="00AA1E9C">
        <w:rPr>
          <w:rFonts w:ascii="Cambria" w:hAnsi="Cambria"/>
          <w:sz w:val="20"/>
          <w:szCs w:val="20"/>
        </w:rPr>
        <w:t>, r</w:t>
      </w:r>
      <w:proofErr w:type="spellStart"/>
      <w:r w:rsidRPr="004E3D12">
        <w:rPr>
          <w:rFonts w:ascii="Cambria" w:hAnsi="Cambria"/>
          <w:sz w:val="20"/>
          <w:szCs w:val="20"/>
          <w:lang w:val="en-AU"/>
        </w:rPr>
        <w:t>ecommendation</w:t>
      </w:r>
      <w:proofErr w:type="spellEnd"/>
      <w:r w:rsidRPr="004E3D12">
        <w:rPr>
          <w:rFonts w:ascii="Cambria" w:hAnsi="Cambria"/>
          <w:sz w:val="20"/>
          <w:szCs w:val="20"/>
          <w:lang w:val="en-AU"/>
        </w:rPr>
        <w:t xml:space="preserve"> 16.9.</w:t>
      </w:r>
    </w:p>
  </w:footnote>
  <w:footnote w:id="10">
    <w:p w:rsidR="00FE6B64" w:rsidRPr="004E3D12" w:rsidRDefault="00FE6B64">
      <w:pPr>
        <w:pStyle w:val="FootnoteText"/>
        <w:rPr>
          <w:rFonts w:ascii="Cambria" w:hAnsi="Cambria"/>
          <w:sz w:val="20"/>
          <w:szCs w:val="20"/>
          <w:lang w:val="en-AU"/>
        </w:rPr>
      </w:pPr>
      <w:r w:rsidRPr="004E3D12">
        <w:rPr>
          <w:rStyle w:val="FootnoteReference"/>
          <w:rFonts w:ascii="Cambria" w:hAnsi="Cambria"/>
          <w:sz w:val="20"/>
          <w:szCs w:val="20"/>
        </w:rPr>
        <w:footnoteRef/>
      </w:r>
      <w:r w:rsidRPr="004E3D12">
        <w:rPr>
          <w:rFonts w:ascii="Cambria" w:hAnsi="Cambria"/>
          <w:sz w:val="20"/>
          <w:szCs w:val="20"/>
        </w:rPr>
        <w:t xml:space="preserve"> </w:t>
      </w:r>
      <w:r w:rsidRPr="004E3D12">
        <w:rPr>
          <w:rFonts w:ascii="Cambria" w:hAnsi="Cambria"/>
          <w:sz w:val="20"/>
          <w:szCs w:val="20"/>
          <w:lang w:val="en-AU"/>
        </w:rPr>
        <w:t xml:space="preserve">Also see section 125D of the </w:t>
      </w:r>
      <w:r w:rsidRPr="004E3D12">
        <w:rPr>
          <w:rFonts w:ascii="Cambria" w:hAnsi="Cambria"/>
          <w:i/>
          <w:iCs/>
          <w:sz w:val="20"/>
          <w:szCs w:val="20"/>
          <w:lang w:val="en-AU"/>
        </w:rPr>
        <w:t>Criminal Code Act 1924</w:t>
      </w:r>
      <w:r w:rsidRPr="004E3D12">
        <w:rPr>
          <w:rFonts w:ascii="Cambria" w:hAnsi="Cambria"/>
          <w:sz w:val="20"/>
          <w:szCs w:val="20"/>
          <w:lang w:val="en-AU"/>
        </w:rPr>
        <w:t xml:space="preserve"> (Tas). </w:t>
      </w:r>
    </w:p>
  </w:footnote>
  <w:footnote w:id="11">
    <w:p w:rsidR="004375C3" w:rsidRPr="004E3D12" w:rsidRDefault="004375C3">
      <w:pPr>
        <w:pStyle w:val="FootnoteText"/>
        <w:rPr>
          <w:rFonts w:ascii="Cambria" w:hAnsi="Cambria"/>
          <w:sz w:val="20"/>
          <w:szCs w:val="20"/>
          <w:lang w:val="en-AU"/>
        </w:rPr>
      </w:pPr>
      <w:r w:rsidRPr="004E3D12">
        <w:rPr>
          <w:rStyle w:val="FootnoteReference"/>
          <w:rFonts w:ascii="Cambria" w:hAnsi="Cambria"/>
          <w:sz w:val="20"/>
          <w:szCs w:val="20"/>
        </w:rPr>
        <w:footnoteRef/>
      </w:r>
      <w:r w:rsidRPr="004E3D12">
        <w:rPr>
          <w:rFonts w:ascii="Cambria" w:hAnsi="Cambria"/>
          <w:sz w:val="20"/>
          <w:szCs w:val="20"/>
        </w:rPr>
        <w:t xml:space="preserve"> </w:t>
      </w:r>
      <w:r w:rsidRPr="004E3D12">
        <w:rPr>
          <w:rFonts w:ascii="Cambria" w:hAnsi="Cambria"/>
          <w:sz w:val="20"/>
          <w:szCs w:val="20"/>
        </w:rPr>
        <w:t xml:space="preserve">NSW Law Reform Commission, </w:t>
      </w:r>
      <w:r w:rsidRPr="004E3D12">
        <w:rPr>
          <w:rFonts w:ascii="Cambria" w:hAnsi="Cambria"/>
          <w:i/>
          <w:iCs/>
          <w:sz w:val="20"/>
          <w:szCs w:val="20"/>
        </w:rPr>
        <w:t>Family Violence: A National Legal Response</w:t>
      </w:r>
      <w:r w:rsidR="00AA1E9C">
        <w:rPr>
          <w:rFonts w:ascii="Cambria" w:hAnsi="Cambria"/>
          <w:sz w:val="20"/>
          <w:szCs w:val="20"/>
        </w:rPr>
        <w:t xml:space="preserve"> (</w:t>
      </w:r>
      <w:r w:rsidRPr="004E3D12">
        <w:rPr>
          <w:rFonts w:ascii="Cambria" w:hAnsi="Cambria"/>
          <w:sz w:val="20"/>
          <w:szCs w:val="20"/>
        </w:rPr>
        <w:t>Report 128</w:t>
      </w:r>
      <w:r w:rsidR="00AA1E9C">
        <w:rPr>
          <w:rFonts w:ascii="Cambria" w:hAnsi="Cambria"/>
          <w:sz w:val="20"/>
          <w:szCs w:val="20"/>
        </w:rPr>
        <w:t xml:space="preserve">: </w:t>
      </w:r>
      <w:r w:rsidRPr="004E3D12">
        <w:rPr>
          <w:rFonts w:ascii="Cambria" w:hAnsi="Cambria"/>
          <w:sz w:val="20"/>
          <w:szCs w:val="20"/>
        </w:rPr>
        <w:t>2010)</w:t>
      </w:r>
      <w:r w:rsidR="008D74E1" w:rsidRPr="004E3D12">
        <w:rPr>
          <w:rFonts w:ascii="Cambria" w:hAnsi="Cambria"/>
          <w:sz w:val="20"/>
          <w:szCs w:val="20"/>
        </w:rPr>
        <w:t xml:space="preserve">, recommendation 27-11. </w:t>
      </w:r>
    </w:p>
  </w:footnote>
  <w:footnote w:id="12">
    <w:p w:rsidR="005041EB" w:rsidRPr="004E3D12" w:rsidRDefault="005041EB">
      <w:pPr>
        <w:pStyle w:val="FootnoteText"/>
        <w:rPr>
          <w:rFonts w:ascii="Cambria" w:hAnsi="Cambria"/>
          <w:sz w:val="20"/>
          <w:szCs w:val="20"/>
          <w:lang w:val="en-AU"/>
        </w:rPr>
      </w:pPr>
      <w:r w:rsidRPr="004E3D12">
        <w:rPr>
          <w:rStyle w:val="FootnoteReference"/>
          <w:rFonts w:ascii="Cambria" w:hAnsi="Cambria"/>
          <w:sz w:val="20"/>
          <w:szCs w:val="20"/>
        </w:rPr>
        <w:footnoteRef/>
      </w:r>
      <w:r w:rsidR="00AA1E9C">
        <w:rPr>
          <w:rFonts w:ascii="Cambria" w:hAnsi="Cambria"/>
          <w:sz w:val="20"/>
          <w:szCs w:val="20"/>
        </w:rPr>
        <w:t xml:space="preserve"> </w:t>
      </w:r>
      <w:r w:rsidR="00AA1E9C" w:rsidRPr="004E3D12">
        <w:rPr>
          <w:rFonts w:ascii="Cambria" w:hAnsi="Cambria"/>
          <w:i/>
          <w:iCs/>
          <w:color w:val="000000" w:themeColor="text1"/>
          <w:sz w:val="20"/>
          <w:szCs w:val="20"/>
          <w:shd w:val="clear" w:color="auto" w:fill="FFFFFF"/>
        </w:rPr>
        <w:t xml:space="preserve">Royal Commission into Institutional Responses to Child Sexual Abuse </w:t>
      </w:r>
      <w:r w:rsidR="00AA1E9C">
        <w:rPr>
          <w:rFonts w:ascii="Cambria" w:hAnsi="Cambria"/>
          <w:i/>
          <w:iCs/>
          <w:color w:val="000000" w:themeColor="text1"/>
          <w:sz w:val="20"/>
          <w:szCs w:val="20"/>
          <w:shd w:val="clear" w:color="auto" w:fill="FFFFFF"/>
        </w:rPr>
        <w:t>–</w:t>
      </w:r>
      <w:r w:rsidR="00AA1E9C" w:rsidRPr="004E3D12">
        <w:rPr>
          <w:rFonts w:ascii="Cambria" w:hAnsi="Cambria"/>
          <w:i/>
          <w:iCs/>
          <w:color w:val="000000" w:themeColor="text1"/>
          <w:sz w:val="20"/>
          <w:szCs w:val="20"/>
          <w:shd w:val="clear" w:color="auto" w:fill="FFFFFF"/>
        </w:rPr>
        <w:t xml:space="preserve"> </w:t>
      </w:r>
      <w:r w:rsidR="00AA1E9C">
        <w:rPr>
          <w:rFonts w:ascii="Cambria" w:hAnsi="Cambria"/>
          <w:i/>
          <w:iCs/>
          <w:color w:val="000000" w:themeColor="text1"/>
          <w:sz w:val="20"/>
          <w:szCs w:val="20"/>
          <w:shd w:val="clear" w:color="auto" w:fill="FFFFFF"/>
        </w:rPr>
        <w:t xml:space="preserve">Criminal Justice Report – Executive Summary and Parts I and II </w:t>
      </w:r>
      <w:r w:rsidR="00AA1E9C" w:rsidRPr="004E3D12">
        <w:rPr>
          <w:rFonts w:ascii="Cambria" w:hAnsi="Cambria"/>
          <w:color w:val="000000" w:themeColor="text1"/>
          <w:sz w:val="20"/>
          <w:szCs w:val="20"/>
          <w:shd w:val="clear" w:color="auto" w:fill="FFFFFF"/>
        </w:rPr>
        <w:t xml:space="preserve"> (Commonwealth Government: 2015) a</w:t>
      </w:r>
      <w:r w:rsidR="00AA1E9C">
        <w:rPr>
          <w:rFonts w:ascii="Cambria" w:hAnsi="Cambria"/>
          <w:color w:val="000000" w:themeColor="text1"/>
          <w:sz w:val="20"/>
          <w:szCs w:val="20"/>
          <w:shd w:val="clear" w:color="auto" w:fill="FFFFFF"/>
        </w:rPr>
        <w:t>t 92-93</w:t>
      </w:r>
      <w:r w:rsidR="00AA1E9C" w:rsidRPr="004E3D12">
        <w:rPr>
          <w:rFonts w:ascii="Cambria" w:hAnsi="Cambria"/>
          <w:color w:val="000000" w:themeColor="text1"/>
          <w:sz w:val="20"/>
          <w:szCs w:val="20"/>
          <w:shd w:val="clear" w:color="auto" w:fill="FFFFFF"/>
        </w:rPr>
        <w:t>.</w:t>
      </w:r>
    </w:p>
  </w:footnote>
  <w:footnote w:id="13">
    <w:p w:rsidR="006F43FB" w:rsidRPr="004E3D12" w:rsidRDefault="006F43FB">
      <w:pPr>
        <w:pStyle w:val="FootnoteText"/>
        <w:rPr>
          <w:rFonts w:ascii="Cambria" w:hAnsi="Cambria"/>
          <w:sz w:val="20"/>
          <w:szCs w:val="20"/>
          <w:lang w:val="en-AU"/>
        </w:rPr>
      </w:pPr>
      <w:r w:rsidRPr="004E3D12">
        <w:rPr>
          <w:rStyle w:val="FootnoteReference"/>
          <w:rFonts w:ascii="Cambria" w:hAnsi="Cambria"/>
          <w:sz w:val="20"/>
          <w:szCs w:val="20"/>
        </w:rPr>
        <w:footnoteRef/>
      </w:r>
      <w:r w:rsidRPr="004E3D12">
        <w:rPr>
          <w:rFonts w:ascii="Cambria" w:hAnsi="Cambria"/>
          <w:sz w:val="20"/>
          <w:szCs w:val="20"/>
        </w:rPr>
        <w:t xml:space="preserve"> </w:t>
      </w:r>
      <w:r w:rsidRPr="004E3D12">
        <w:rPr>
          <w:rFonts w:ascii="Cambria" w:hAnsi="Cambria"/>
          <w:sz w:val="20"/>
          <w:szCs w:val="20"/>
        </w:rPr>
        <w:t xml:space="preserve">Commission of Inquiry into the Tasmanian Government’s Responses to Child Sexual Abuse in Institutional Settings, </w:t>
      </w:r>
      <w:r w:rsidRPr="004E3D12">
        <w:rPr>
          <w:rFonts w:ascii="Cambria" w:hAnsi="Cambria"/>
          <w:i/>
          <w:iCs/>
          <w:sz w:val="20"/>
          <w:szCs w:val="20"/>
        </w:rPr>
        <w:t xml:space="preserve">Who was looking after me? </w:t>
      </w:r>
      <w:proofErr w:type="spellStart"/>
      <w:r w:rsidRPr="004E3D12">
        <w:rPr>
          <w:rFonts w:ascii="Cambria" w:hAnsi="Cambria"/>
          <w:i/>
          <w:iCs/>
          <w:sz w:val="20"/>
          <w:szCs w:val="20"/>
        </w:rPr>
        <w:t>Prioritising</w:t>
      </w:r>
      <w:proofErr w:type="spellEnd"/>
      <w:r w:rsidRPr="004E3D12">
        <w:rPr>
          <w:rFonts w:ascii="Cambria" w:hAnsi="Cambria"/>
          <w:i/>
          <w:iCs/>
          <w:sz w:val="20"/>
          <w:szCs w:val="20"/>
        </w:rPr>
        <w:t xml:space="preserve"> the safety of Tasmanian children</w:t>
      </w:r>
      <w:r w:rsidRPr="004E3D12">
        <w:rPr>
          <w:rFonts w:ascii="Cambria" w:hAnsi="Cambria"/>
          <w:sz w:val="20"/>
          <w:szCs w:val="20"/>
        </w:rPr>
        <w:t xml:space="preserve"> - Volume 7: The justice system and victim-survivors (August 2023)</w:t>
      </w:r>
      <w:r w:rsidR="00AA1E9C">
        <w:rPr>
          <w:rFonts w:ascii="Cambria" w:hAnsi="Cambria"/>
          <w:sz w:val="20"/>
          <w:szCs w:val="20"/>
        </w:rPr>
        <w:t>, r</w:t>
      </w:r>
      <w:r w:rsidRPr="004E3D12">
        <w:rPr>
          <w:rFonts w:ascii="Cambria" w:hAnsi="Cambria"/>
          <w:sz w:val="20"/>
          <w:szCs w:val="20"/>
        </w:rPr>
        <w:t>ecommendation 16.15</w:t>
      </w:r>
      <w:r w:rsidRPr="004E3D12">
        <w:rPr>
          <w:rFonts w:ascii="Cambria" w:hAnsi="Cambria"/>
          <w:sz w:val="20"/>
          <w:szCs w:val="20"/>
        </w:rPr>
        <w:t xml:space="preserve">.   </w:t>
      </w:r>
    </w:p>
  </w:footnote>
  <w:footnote w:id="14">
    <w:p w:rsidR="00530832" w:rsidRPr="004E3D12" w:rsidRDefault="00530832">
      <w:pPr>
        <w:pStyle w:val="FootnoteText"/>
        <w:rPr>
          <w:rFonts w:ascii="Cambria" w:hAnsi="Cambria"/>
          <w:sz w:val="20"/>
          <w:szCs w:val="20"/>
          <w:lang w:val="en-AU"/>
        </w:rPr>
      </w:pPr>
      <w:r w:rsidRPr="004E3D12">
        <w:rPr>
          <w:rStyle w:val="FootnoteReference"/>
          <w:rFonts w:ascii="Cambria" w:hAnsi="Cambria"/>
          <w:sz w:val="20"/>
          <w:szCs w:val="20"/>
        </w:rPr>
        <w:footnoteRef/>
      </w:r>
      <w:r w:rsidRPr="004E3D12">
        <w:rPr>
          <w:rFonts w:ascii="Cambria" w:hAnsi="Cambria"/>
          <w:sz w:val="20"/>
          <w:szCs w:val="20"/>
        </w:rPr>
        <w:t xml:space="preserve"> </w:t>
      </w:r>
      <w:r w:rsidRPr="004E3D12">
        <w:rPr>
          <w:rFonts w:ascii="Cambria" w:hAnsi="Cambria"/>
          <w:sz w:val="20"/>
          <w:szCs w:val="20"/>
        </w:rPr>
        <w:t xml:space="preserve">Commission of Inquiry into the Tasmanian Government’s Responses to Child Sexual Abuse in Institutional Settings, </w:t>
      </w:r>
      <w:r w:rsidRPr="004E3D12">
        <w:rPr>
          <w:rFonts w:ascii="Cambria" w:hAnsi="Cambria"/>
          <w:i/>
          <w:iCs/>
          <w:sz w:val="20"/>
          <w:szCs w:val="20"/>
        </w:rPr>
        <w:t xml:space="preserve">Who was looking after me? </w:t>
      </w:r>
      <w:proofErr w:type="spellStart"/>
      <w:r w:rsidRPr="004E3D12">
        <w:rPr>
          <w:rFonts w:ascii="Cambria" w:hAnsi="Cambria"/>
          <w:i/>
          <w:iCs/>
          <w:sz w:val="20"/>
          <w:szCs w:val="20"/>
        </w:rPr>
        <w:t>Prioritising</w:t>
      </w:r>
      <w:proofErr w:type="spellEnd"/>
      <w:r w:rsidRPr="004E3D12">
        <w:rPr>
          <w:rFonts w:ascii="Cambria" w:hAnsi="Cambria"/>
          <w:i/>
          <w:iCs/>
          <w:sz w:val="20"/>
          <w:szCs w:val="20"/>
        </w:rPr>
        <w:t xml:space="preserve"> the safety of Tasmanian children</w:t>
      </w:r>
      <w:r w:rsidRPr="004E3D12">
        <w:rPr>
          <w:rFonts w:ascii="Cambria" w:hAnsi="Cambria"/>
          <w:sz w:val="20"/>
          <w:szCs w:val="20"/>
        </w:rPr>
        <w:t xml:space="preserve"> - Volume 7: The justice system and victim-survivors (August 2023) at </w:t>
      </w:r>
      <w:r w:rsidRPr="004E3D12">
        <w:rPr>
          <w:rFonts w:ascii="Cambria" w:hAnsi="Cambria"/>
          <w:sz w:val="20"/>
          <w:szCs w:val="20"/>
        </w:rPr>
        <w:t xml:space="preserve">74-77. </w:t>
      </w:r>
    </w:p>
  </w:footnote>
  <w:footnote w:id="15">
    <w:p w:rsidR="00530832" w:rsidRPr="00530832" w:rsidRDefault="00530832">
      <w:pPr>
        <w:pStyle w:val="FootnoteText"/>
        <w:rPr>
          <w:lang w:val="en-AU"/>
        </w:rPr>
      </w:pPr>
      <w:r w:rsidRPr="004E3D12">
        <w:rPr>
          <w:rStyle w:val="FootnoteReference"/>
          <w:rFonts w:ascii="Cambria" w:hAnsi="Cambria"/>
          <w:sz w:val="20"/>
          <w:szCs w:val="20"/>
        </w:rPr>
        <w:footnoteRef/>
      </w:r>
      <w:r w:rsidRPr="004E3D12">
        <w:rPr>
          <w:rFonts w:ascii="Cambria" w:hAnsi="Cambria"/>
          <w:sz w:val="20"/>
          <w:szCs w:val="20"/>
        </w:rPr>
        <w:t xml:space="preserve"> </w:t>
      </w:r>
      <w:r w:rsidR="00AA1E9C">
        <w:rPr>
          <w:rFonts w:ascii="Cambria" w:hAnsi="Cambria"/>
          <w:sz w:val="20"/>
          <w:szCs w:val="20"/>
        </w:rPr>
        <w:t xml:space="preserve">Ibid., </w:t>
      </w:r>
      <w:r w:rsidRPr="004E3D12">
        <w:rPr>
          <w:rFonts w:ascii="Cambria" w:hAnsi="Cambria"/>
          <w:sz w:val="20"/>
          <w:szCs w:val="20"/>
        </w:rPr>
        <w:t>at 9</w:t>
      </w:r>
      <w:r w:rsidR="00AA1E9C">
        <w:rPr>
          <w:rFonts w:ascii="Cambria" w:hAnsi="Cambria"/>
          <w:sz w:val="20"/>
          <w:szCs w:val="20"/>
        </w:rPr>
        <w:t>0</w:t>
      </w:r>
      <w:r w:rsidRPr="004E3D12">
        <w:rPr>
          <w:rFonts w:ascii="Cambria" w:hAnsi="Cambria"/>
          <w:sz w:val="20"/>
          <w:szCs w:val="20"/>
        </w:rPr>
        <w: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96A97"/>
    <w:multiLevelType w:val="hybridMultilevel"/>
    <w:tmpl w:val="E93E742C"/>
    <w:lvl w:ilvl="0" w:tplc="6434B91C">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6E2514"/>
    <w:multiLevelType w:val="multilevel"/>
    <w:tmpl w:val="4170B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F97FB8"/>
    <w:multiLevelType w:val="hybridMultilevel"/>
    <w:tmpl w:val="C9C66D9A"/>
    <w:lvl w:ilvl="0" w:tplc="7E6203D8">
      <w:start w:val="2"/>
      <w:numFmt w:val="bullet"/>
      <w:lvlText w:val="-"/>
      <w:lvlJc w:val="left"/>
      <w:pPr>
        <w:ind w:left="720" w:hanging="360"/>
      </w:pPr>
      <w:rPr>
        <w:rFonts w:ascii="Cambria" w:eastAsia="Times New Roman" w:hAnsi="Cambri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EA7CD8"/>
    <w:multiLevelType w:val="hybridMultilevel"/>
    <w:tmpl w:val="D8DAA01E"/>
    <w:lvl w:ilvl="0" w:tplc="27565DE6">
      <w:start w:val="2"/>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A45D6A"/>
    <w:multiLevelType w:val="multilevel"/>
    <w:tmpl w:val="DCBE0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3529777">
    <w:abstractNumId w:val="0"/>
  </w:num>
  <w:num w:numId="2" w16cid:durableId="952246426">
    <w:abstractNumId w:val="1"/>
  </w:num>
  <w:num w:numId="3" w16cid:durableId="1628589371">
    <w:abstractNumId w:val="4"/>
  </w:num>
  <w:num w:numId="4" w16cid:durableId="879244811">
    <w:abstractNumId w:val="3"/>
  </w:num>
  <w:num w:numId="5" w16cid:durableId="2461099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944"/>
    <w:rsid w:val="000240FD"/>
    <w:rsid w:val="00070257"/>
    <w:rsid w:val="0007705A"/>
    <w:rsid w:val="000775E9"/>
    <w:rsid w:val="000776A4"/>
    <w:rsid w:val="00081024"/>
    <w:rsid w:val="00082838"/>
    <w:rsid w:val="000F1177"/>
    <w:rsid w:val="0013125D"/>
    <w:rsid w:val="00170139"/>
    <w:rsid w:val="001863A7"/>
    <w:rsid w:val="001A15CE"/>
    <w:rsid w:val="00262195"/>
    <w:rsid w:val="00282637"/>
    <w:rsid w:val="002B0661"/>
    <w:rsid w:val="00321148"/>
    <w:rsid w:val="003609BE"/>
    <w:rsid w:val="0036527F"/>
    <w:rsid w:val="00382B80"/>
    <w:rsid w:val="00386A7A"/>
    <w:rsid w:val="003B1D6B"/>
    <w:rsid w:val="00401FCC"/>
    <w:rsid w:val="00425CB8"/>
    <w:rsid w:val="004375C3"/>
    <w:rsid w:val="00480F67"/>
    <w:rsid w:val="004A68BA"/>
    <w:rsid w:val="004B7A47"/>
    <w:rsid w:val="004C5408"/>
    <w:rsid w:val="004E09CF"/>
    <w:rsid w:val="004E3D12"/>
    <w:rsid w:val="004F0732"/>
    <w:rsid w:val="005041EB"/>
    <w:rsid w:val="00504453"/>
    <w:rsid w:val="005061FD"/>
    <w:rsid w:val="0051115B"/>
    <w:rsid w:val="00530832"/>
    <w:rsid w:val="00540591"/>
    <w:rsid w:val="005760DE"/>
    <w:rsid w:val="00576CED"/>
    <w:rsid w:val="005E19AA"/>
    <w:rsid w:val="005E6944"/>
    <w:rsid w:val="005F221D"/>
    <w:rsid w:val="00655005"/>
    <w:rsid w:val="0068523B"/>
    <w:rsid w:val="006954D8"/>
    <w:rsid w:val="006B73BA"/>
    <w:rsid w:val="006C46FD"/>
    <w:rsid w:val="006D41ED"/>
    <w:rsid w:val="006F192B"/>
    <w:rsid w:val="006F43FB"/>
    <w:rsid w:val="00711B1C"/>
    <w:rsid w:val="007C350C"/>
    <w:rsid w:val="007D0814"/>
    <w:rsid w:val="00811B27"/>
    <w:rsid w:val="008131C2"/>
    <w:rsid w:val="00830DED"/>
    <w:rsid w:val="00833A6A"/>
    <w:rsid w:val="00837294"/>
    <w:rsid w:val="008640E8"/>
    <w:rsid w:val="00872EE8"/>
    <w:rsid w:val="008763F5"/>
    <w:rsid w:val="00887740"/>
    <w:rsid w:val="008D74E1"/>
    <w:rsid w:val="008F040E"/>
    <w:rsid w:val="00931886"/>
    <w:rsid w:val="00944559"/>
    <w:rsid w:val="009828D1"/>
    <w:rsid w:val="009B78C1"/>
    <w:rsid w:val="009C22A9"/>
    <w:rsid w:val="009F2AD7"/>
    <w:rsid w:val="009F6D8D"/>
    <w:rsid w:val="00A54A07"/>
    <w:rsid w:val="00A70FA2"/>
    <w:rsid w:val="00AA1E9C"/>
    <w:rsid w:val="00AB2265"/>
    <w:rsid w:val="00AD68B7"/>
    <w:rsid w:val="00AF7F6B"/>
    <w:rsid w:val="00B269A4"/>
    <w:rsid w:val="00B3325A"/>
    <w:rsid w:val="00B454D6"/>
    <w:rsid w:val="00B83647"/>
    <w:rsid w:val="00C06334"/>
    <w:rsid w:val="00C4537A"/>
    <w:rsid w:val="00C62C30"/>
    <w:rsid w:val="00C94696"/>
    <w:rsid w:val="00CE5494"/>
    <w:rsid w:val="00D26EDE"/>
    <w:rsid w:val="00DD558B"/>
    <w:rsid w:val="00DF12A7"/>
    <w:rsid w:val="00E37BA0"/>
    <w:rsid w:val="00E61ED2"/>
    <w:rsid w:val="00E64393"/>
    <w:rsid w:val="00ED3179"/>
    <w:rsid w:val="00F1619E"/>
    <w:rsid w:val="00F522B9"/>
    <w:rsid w:val="00F73F18"/>
    <w:rsid w:val="00F845E0"/>
    <w:rsid w:val="00F9108F"/>
    <w:rsid w:val="00FC11D2"/>
    <w:rsid w:val="00FE6B64"/>
    <w:rsid w:val="00FE7D54"/>
    <w:rsid w:val="00FF491D"/>
    <w:rsid w:val="00FF75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2F9A86E"/>
  <w15:docId w15:val="{21C080FD-51E3-1342-A02E-040393593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944"/>
    <w:rPr>
      <w:rFonts w:ascii="Times New Roman" w:eastAsia="Times New Roman" w:hAnsi="Times New Roman" w:cs="Times New Roman"/>
      <w:lang w:eastAsia="en-GB"/>
    </w:rPr>
  </w:style>
  <w:style w:type="paragraph" w:styleId="Heading1">
    <w:name w:val="heading 1"/>
    <w:basedOn w:val="Normal"/>
    <w:link w:val="Heading1Char"/>
    <w:uiPriority w:val="9"/>
    <w:qFormat/>
    <w:rsid w:val="000240FD"/>
    <w:pPr>
      <w:spacing w:before="100" w:beforeAutospacing="1" w:after="100" w:afterAutospacing="1"/>
      <w:outlineLvl w:val="0"/>
    </w:pPr>
    <w:rPr>
      <w:b/>
      <w:bCs/>
      <w:kern w:val="36"/>
      <w:sz w:val="48"/>
      <w:szCs w:val="48"/>
    </w:rPr>
  </w:style>
  <w:style w:type="paragraph" w:styleId="Heading4">
    <w:name w:val="heading 4"/>
    <w:basedOn w:val="Normal"/>
    <w:next w:val="Normal"/>
    <w:link w:val="Heading4Char"/>
    <w:uiPriority w:val="9"/>
    <w:semiHidden/>
    <w:unhideWhenUsed/>
    <w:qFormat/>
    <w:rsid w:val="005F221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Text,Footnote Text Char Char Char Char Char Char Char,Footnote Text Char Char Char Char Char Char,Footnote Text Char Char Char Char Char Char Char Char Char Char Char Char Char Char Char Char Char,single space Char,single space"/>
    <w:basedOn w:val="Normal"/>
    <w:link w:val="FootnoteTextChar"/>
    <w:uiPriority w:val="99"/>
    <w:unhideWhenUsed/>
    <w:rsid w:val="005E6944"/>
    <w:rPr>
      <w:rFonts w:asciiTheme="minorHAnsi" w:eastAsiaTheme="minorEastAsia" w:hAnsiTheme="minorHAnsi" w:cstheme="minorBidi"/>
      <w:lang w:val="en-US" w:eastAsia="en-US"/>
    </w:rPr>
  </w:style>
  <w:style w:type="character" w:customStyle="1" w:styleId="FootnoteTextChar">
    <w:name w:val="Footnote Text Char"/>
    <w:aliases w:val="Footnote Char,Text Char,Footnote Text Char Char Char Char Char Char Char Char,Footnote Text Char Char Char Char Char Char Char1,Footnote Text Char Char Char Char Char Char Char Char Char Char Char Char Char Char Char Char Char Char"/>
    <w:basedOn w:val="DefaultParagraphFont"/>
    <w:link w:val="FootnoteText"/>
    <w:uiPriority w:val="99"/>
    <w:rsid w:val="005E6944"/>
    <w:rPr>
      <w:rFonts w:eastAsiaTheme="minorEastAsia"/>
      <w:lang w:val="en-US"/>
    </w:rPr>
  </w:style>
  <w:style w:type="character" w:styleId="FootnoteReference">
    <w:name w:val="footnote reference"/>
    <w:aliases w:val="Footnotes refss"/>
    <w:basedOn w:val="DefaultParagraphFont"/>
    <w:uiPriority w:val="99"/>
    <w:unhideWhenUsed/>
    <w:rsid w:val="005E6944"/>
    <w:rPr>
      <w:vertAlign w:val="superscript"/>
    </w:rPr>
  </w:style>
  <w:style w:type="character" w:styleId="Hyperlink">
    <w:name w:val="Hyperlink"/>
    <w:basedOn w:val="DefaultParagraphFont"/>
    <w:uiPriority w:val="99"/>
    <w:unhideWhenUsed/>
    <w:rsid w:val="005E6944"/>
    <w:rPr>
      <w:color w:val="0563C1" w:themeColor="hyperlink"/>
      <w:u w:val="single"/>
    </w:rPr>
  </w:style>
  <w:style w:type="paragraph" w:customStyle="1" w:styleId="ah2part">
    <w:name w:val="ah2part"/>
    <w:basedOn w:val="Normal"/>
    <w:rsid w:val="001A15CE"/>
    <w:pPr>
      <w:spacing w:before="100" w:beforeAutospacing="1" w:after="100" w:afterAutospacing="1"/>
    </w:pPr>
  </w:style>
  <w:style w:type="character" w:customStyle="1" w:styleId="charpartno">
    <w:name w:val="charpartno"/>
    <w:basedOn w:val="DefaultParagraphFont"/>
    <w:rsid w:val="001A15CE"/>
  </w:style>
  <w:style w:type="character" w:customStyle="1" w:styleId="charparttext">
    <w:name w:val="charparttext"/>
    <w:basedOn w:val="DefaultParagraphFont"/>
    <w:rsid w:val="001A15CE"/>
  </w:style>
  <w:style w:type="paragraph" w:customStyle="1" w:styleId="ah5sec">
    <w:name w:val="ah5sec"/>
    <w:basedOn w:val="Normal"/>
    <w:rsid w:val="001A15CE"/>
    <w:pPr>
      <w:spacing w:before="100" w:beforeAutospacing="1" w:after="100" w:afterAutospacing="1"/>
    </w:pPr>
  </w:style>
  <w:style w:type="character" w:customStyle="1" w:styleId="charsectno">
    <w:name w:val="charsectno"/>
    <w:basedOn w:val="DefaultParagraphFont"/>
    <w:rsid w:val="001A15CE"/>
  </w:style>
  <w:style w:type="paragraph" w:customStyle="1" w:styleId="amain">
    <w:name w:val="amain"/>
    <w:basedOn w:val="Normal"/>
    <w:rsid w:val="001A15CE"/>
    <w:pPr>
      <w:spacing w:before="100" w:beforeAutospacing="1" w:after="100" w:afterAutospacing="1"/>
    </w:pPr>
  </w:style>
  <w:style w:type="paragraph" w:customStyle="1" w:styleId="apara">
    <w:name w:val="apara"/>
    <w:basedOn w:val="Normal"/>
    <w:rsid w:val="001A15CE"/>
    <w:pPr>
      <w:spacing w:before="100" w:beforeAutospacing="1" w:after="100" w:afterAutospacing="1"/>
    </w:pPr>
  </w:style>
  <w:style w:type="paragraph" w:customStyle="1" w:styleId="asubpara">
    <w:name w:val="asubpara"/>
    <w:basedOn w:val="Normal"/>
    <w:rsid w:val="001A15CE"/>
    <w:pPr>
      <w:spacing w:before="100" w:beforeAutospacing="1" w:after="100" w:afterAutospacing="1"/>
    </w:pPr>
  </w:style>
  <w:style w:type="character" w:customStyle="1" w:styleId="charcithyperlinkital">
    <w:name w:val="charcithyperlinkital"/>
    <w:basedOn w:val="DefaultParagraphFont"/>
    <w:rsid w:val="001A15CE"/>
  </w:style>
  <w:style w:type="character" w:customStyle="1" w:styleId="charitals">
    <w:name w:val="charitals"/>
    <w:basedOn w:val="DefaultParagraphFont"/>
    <w:rsid w:val="001A15CE"/>
  </w:style>
  <w:style w:type="paragraph" w:customStyle="1" w:styleId="amainreturn">
    <w:name w:val="amainreturn"/>
    <w:basedOn w:val="Normal"/>
    <w:rsid w:val="001A15CE"/>
    <w:pPr>
      <w:spacing w:before="100" w:beforeAutospacing="1" w:after="100" w:afterAutospacing="1"/>
    </w:pPr>
  </w:style>
  <w:style w:type="paragraph" w:customStyle="1" w:styleId="adef">
    <w:name w:val="adef"/>
    <w:basedOn w:val="Normal"/>
    <w:rsid w:val="001A15CE"/>
    <w:pPr>
      <w:spacing w:before="100" w:beforeAutospacing="1" w:after="100" w:afterAutospacing="1"/>
    </w:pPr>
  </w:style>
  <w:style w:type="character" w:customStyle="1" w:styleId="charbolditals">
    <w:name w:val="charbolditals"/>
    <w:basedOn w:val="DefaultParagraphFont"/>
    <w:rsid w:val="001A15CE"/>
  </w:style>
  <w:style w:type="character" w:styleId="UnresolvedMention">
    <w:name w:val="Unresolved Mention"/>
    <w:basedOn w:val="DefaultParagraphFont"/>
    <w:uiPriority w:val="99"/>
    <w:semiHidden/>
    <w:unhideWhenUsed/>
    <w:rsid w:val="001A15CE"/>
    <w:rPr>
      <w:color w:val="605E5C"/>
      <w:shd w:val="clear" w:color="auto" w:fill="E1DFDD"/>
    </w:rPr>
  </w:style>
  <w:style w:type="character" w:customStyle="1" w:styleId="frag-no">
    <w:name w:val="frag-no"/>
    <w:basedOn w:val="DefaultParagraphFont"/>
    <w:rsid w:val="001A15CE"/>
  </w:style>
  <w:style w:type="character" w:customStyle="1" w:styleId="frag-heading">
    <w:name w:val="frag-heading"/>
    <w:basedOn w:val="DefaultParagraphFont"/>
    <w:rsid w:val="001A15CE"/>
  </w:style>
  <w:style w:type="character" w:customStyle="1" w:styleId="frag-name">
    <w:name w:val="frag-name"/>
    <w:basedOn w:val="DefaultParagraphFont"/>
    <w:rsid w:val="001A15CE"/>
  </w:style>
  <w:style w:type="character" w:customStyle="1" w:styleId="frag-defterm">
    <w:name w:val="frag-defterm"/>
    <w:basedOn w:val="DefaultParagraphFont"/>
    <w:rsid w:val="001A15CE"/>
  </w:style>
  <w:style w:type="paragraph" w:customStyle="1" w:styleId="partheadingparagraph">
    <w:name w:val="partheadingparagraph"/>
    <w:basedOn w:val="Normal"/>
    <w:rsid w:val="001A15CE"/>
    <w:pPr>
      <w:spacing w:before="100" w:beforeAutospacing="1" w:after="100" w:afterAutospacing="1"/>
    </w:pPr>
  </w:style>
  <w:style w:type="character" w:customStyle="1" w:styleId="headingnumber">
    <w:name w:val="headingnumber"/>
    <w:basedOn w:val="DefaultParagraphFont"/>
    <w:rsid w:val="001A15CE"/>
  </w:style>
  <w:style w:type="character" w:customStyle="1" w:styleId="partheadingname">
    <w:name w:val="partheadingname"/>
    <w:basedOn w:val="DefaultParagraphFont"/>
    <w:rsid w:val="001A15CE"/>
  </w:style>
  <w:style w:type="paragraph" w:customStyle="1" w:styleId="headingparagraph">
    <w:name w:val="headingparagraph"/>
    <w:basedOn w:val="Normal"/>
    <w:rsid w:val="001A15CE"/>
    <w:pPr>
      <w:spacing w:before="100" w:beforeAutospacing="1" w:after="100" w:afterAutospacing="1"/>
    </w:pPr>
  </w:style>
  <w:style w:type="character" w:customStyle="1" w:styleId="headingname">
    <w:name w:val="headingname"/>
    <w:basedOn w:val="DefaultParagraphFont"/>
    <w:rsid w:val="001A15CE"/>
  </w:style>
  <w:style w:type="character" w:customStyle="1" w:styleId="listnumber">
    <w:name w:val="listnumber"/>
    <w:basedOn w:val="DefaultParagraphFont"/>
    <w:rsid w:val="001A15CE"/>
  </w:style>
  <w:style w:type="paragraph" w:styleId="ListParagraph">
    <w:name w:val="List Paragraph"/>
    <w:basedOn w:val="Normal"/>
    <w:uiPriority w:val="34"/>
    <w:qFormat/>
    <w:rsid w:val="006954D8"/>
    <w:pPr>
      <w:ind w:left="720"/>
      <w:contextualSpacing/>
    </w:pPr>
  </w:style>
  <w:style w:type="character" w:customStyle="1" w:styleId="Heading1Char">
    <w:name w:val="Heading 1 Char"/>
    <w:basedOn w:val="DefaultParagraphFont"/>
    <w:link w:val="Heading1"/>
    <w:uiPriority w:val="9"/>
    <w:rsid w:val="000240FD"/>
    <w:rPr>
      <w:rFonts w:ascii="Times New Roman" w:eastAsia="Times New Roman" w:hAnsi="Times New Roman" w:cs="Times New Roman"/>
      <w:b/>
      <w:bCs/>
      <w:kern w:val="36"/>
      <w:sz w:val="48"/>
      <w:szCs w:val="48"/>
      <w:lang w:eastAsia="en-GB"/>
    </w:rPr>
  </w:style>
  <w:style w:type="paragraph" w:styleId="NoSpacing">
    <w:name w:val="No Spacing"/>
    <w:uiPriority w:val="1"/>
    <w:qFormat/>
    <w:rsid w:val="00E64393"/>
    <w:rPr>
      <w:rFonts w:ascii="Times New Roman" w:eastAsia="Times New Roman" w:hAnsi="Times New Roman" w:cs="Times New Roman"/>
      <w:lang w:eastAsia="en-GB"/>
    </w:rPr>
  </w:style>
  <w:style w:type="paragraph" w:customStyle="1" w:styleId="tccsa--main-stylestccsa---paragraph-1">
    <w:name w:val="tccsa-—-main-styles_tccsa---paragraph-1"/>
    <w:basedOn w:val="Normal"/>
    <w:rsid w:val="00E64393"/>
    <w:pPr>
      <w:spacing w:before="100" w:beforeAutospacing="1" w:after="100" w:afterAutospacing="1"/>
    </w:pPr>
  </w:style>
  <w:style w:type="paragraph" w:customStyle="1" w:styleId="tccsa--main-stylestccsa---paragraph-1---bullet-level-1">
    <w:name w:val="tccsa-—-main-styles_tccsa---paragraph-1---bullet-level-1"/>
    <w:basedOn w:val="Normal"/>
    <w:rsid w:val="00E64393"/>
    <w:pPr>
      <w:spacing w:before="100" w:beforeAutospacing="1" w:after="100" w:afterAutospacing="1"/>
    </w:pPr>
  </w:style>
  <w:style w:type="character" w:customStyle="1" w:styleId="em">
    <w:name w:val="em"/>
    <w:basedOn w:val="DefaultParagraphFont"/>
    <w:rsid w:val="00E64393"/>
  </w:style>
  <w:style w:type="character" w:customStyle="1" w:styleId="Heading4Char">
    <w:name w:val="Heading 4 Char"/>
    <w:basedOn w:val="DefaultParagraphFont"/>
    <w:link w:val="Heading4"/>
    <w:uiPriority w:val="9"/>
    <w:semiHidden/>
    <w:rsid w:val="005F221D"/>
    <w:rPr>
      <w:rFonts w:asciiTheme="majorHAnsi" w:eastAsiaTheme="majorEastAsia" w:hAnsiTheme="majorHAnsi" w:cstheme="majorBidi"/>
      <w:i/>
      <w:iCs/>
      <w:color w:val="2F5496" w:themeColor="accent1" w:themeShade="BF"/>
      <w:lang w:eastAsia="en-GB"/>
    </w:rPr>
  </w:style>
  <w:style w:type="paragraph" w:styleId="NormalWeb">
    <w:name w:val="Normal (Web)"/>
    <w:basedOn w:val="Normal"/>
    <w:uiPriority w:val="99"/>
    <w:semiHidden/>
    <w:unhideWhenUsed/>
    <w:rsid w:val="007C350C"/>
    <w:pPr>
      <w:spacing w:before="100" w:beforeAutospacing="1" w:after="100" w:afterAutospacing="1"/>
    </w:pPr>
  </w:style>
  <w:style w:type="character" w:styleId="Strong">
    <w:name w:val="Strong"/>
    <w:basedOn w:val="DefaultParagraphFont"/>
    <w:uiPriority w:val="22"/>
    <w:qFormat/>
    <w:rsid w:val="00321148"/>
    <w:rPr>
      <w:b/>
      <w:bCs/>
    </w:rPr>
  </w:style>
  <w:style w:type="paragraph" w:styleId="Footer">
    <w:name w:val="footer"/>
    <w:basedOn w:val="Normal"/>
    <w:link w:val="FooterChar"/>
    <w:uiPriority w:val="99"/>
    <w:unhideWhenUsed/>
    <w:rsid w:val="009F2AD7"/>
    <w:pPr>
      <w:tabs>
        <w:tab w:val="center" w:pos="4513"/>
        <w:tab w:val="right" w:pos="9026"/>
      </w:tabs>
    </w:pPr>
  </w:style>
  <w:style w:type="character" w:customStyle="1" w:styleId="FooterChar">
    <w:name w:val="Footer Char"/>
    <w:basedOn w:val="DefaultParagraphFont"/>
    <w:link w:val="Footer"/>
    <w:uiPriority w:val="99"/>
    <w:rsid w:val="009F2AD7"/>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9F2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6375">
      <w:bodyDiv w:val="1"/>
      <w:marLeft w:val="0"/>
      <w:marRight w:val="0"/>
      <w:marTop w:val="0"/>
      <w:marBottom w:val="0"/>
      <w:divBdr>
        <w:top w:val="none" w:sz="0" w:space="0" w:color="auto"/>
        <w:left w:val="none" w:sz="0" w:space="0" w:color="auto"/>
        <w:bottom w:val="none" w:sz="0" w:space="0" w:color="auto"/>
        <w:right w:val="none" w:sz="0" w:space="0" w:color="auto"/>
      </w:divBdr>
      <w:divsChild>
        <w:div w:id="2080638983">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556360217">
              <w:blockQuote w:val="1"/>
              <w:marLeft w:val="0"/>
              <w:marRight w:val="0"/>
              <w:marTop w:val="120"/>
              <w:marBottom w:val="120"/>
              <w:divBdr>
                <w:top w:val="none" w:sz="0" w:space="0" w:color="auto"/>
                <w:left w:val="none" w:sz="0" w:space="0" w:color="auto"/>
                <w:bottom w:val="none" w:sz="0" w:space="0" w:color="auto"/>
                <w:right w:val="none" w:sz="0" w:space="0" w:color="auto"/>
              </w:divBdr>
            </w:div>
            <w:div w:id="2048678007">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69298420">
      <w:bodyDiv w:val="1"/>
      <w:marLeft w:val="0"/>
      <w:marRight w:val="0"/>
      <w:marTop w:val="0"/>
      <w:marBottom w:val="0"/>
      <w:divBdr>
        <w:top w:val="none" w:sz="0" w:space="0" w:color="auto"/>
        <w:left w:val="none" w:sz="0" w:space="0" w:color="auto"/>
        <w:bottom w:val="none" w:sz="0" w:space="0" w:color="auto"/>
        <w:right w:val="none" w:sz="0" w:space="0" w:color="auto"/>
      </w:divBdr>
    </w:div>
    <w:div w:id="283270389">
      <w:bodyDiv w:val="1"/>
      <w:marLeft w:val="0"/>
      <w:marRight w:val="0"/>
      <w:marTop w:val="0"/>
      <w:marBottom w:val="0"/>
      <w:divBdr>
        <w:top w:val="none" w:sz="0" w:space="0" w:color="auto"/>
        <w:left w:val="none" w:sz="0" w:space="0" w:color="auto"/>
        <w:bottom w:val="none" w:sz="0" w:space="0" w:color="auto"/>
        <w:right w:val="none" w:sz="0" w:space="0" w:color="auto"/>
      </w:divBdr>
      <w:divsChild>
        <w:div w:id="1940405928">
          <w:marLeft w:val="0"/>
          <w:marRight w:val="0"/>
          <w:marTop w:val="0"/>
          <w:marBottom w:val="0"/>
          <w:divBdr>
            <w:top w:val="none" w:sz="0" w:space="0" w:color="auto"/>
            <w:left w:val="none" w:sz="0" w:space="0" w:color="auto"/>
            <w:bottom w:val="none" w:sz="0" w:space="0" w:color="auto"/>
            <w:right w:val="none" w:sz="0" w:space="0" w:color="auto"/>
          </w:divBdr>
        </w:div>
        <w:div w:id="1149249935">
          <w:marLeft w:val="0"/>
          <w:marRight w:val="0"/>
          <w:marTop w:val="0"/>
          <w:marBottom w:val="0"/>
          <w:divBdr>
            <w:top w:val="none" w:sz="0" w:space="0" w:color="auto"/>
            <w:left w:val="none" w:sz="0" w:space="0" w:color="auto"/>
            <w:bottom w:val="none" w:sz="0" w:space="0" w:color="auto"/>
            <w:right w:val="none" w:sz="0" w:space="0" w:color="auto"/>
          </w:divBdr>
        </w:div>
        <w:div w:id="1845052618">
          <w:marLeft w:val="0"/>
          <w:marRight w:val="0"/>
          <w:marTop w:val="0"/>
          <w:marBottom w:val="0"/>
          <w:divBdr>
            <w:top w:val="none" w:sz="0" w:space="0" w:color="auto"/>
            <w:left w:val="none" w:sz="0" w:space="0" w:color="auto"/>
            <w:bottom w:val="none" w:sz="0" w:space="0" w:color="auto"/>
            <w:right w:val="none" w:sz="0" w:space="0" w:color="auto"/>
          </w:divBdr>
        </w:div>
        <w:div w:id="376779158">
          <w:marLeft w:val="0"/>
          <w:marRight w:val="0"/>
          <w:marTop w:val="0"/>
          <w:marBottom w:val="0"/>
          <w:divBdr>
            <w:top w:val="none" w:sz="0" w:space="0" w:color="auto"/>
            <w:left w:val="none" w:sz="0" w:space="0" w:color="auto"/>
            <w:bottom w:val="none" w:sz="0" w:space="0" w:color="auto"/>
            <w:right w:val="none" w:sz="0" w:space="0" w:color="auto"/>
          </w:divBdr>
        </w:div>
        <w:div w:id="1541281564">
          <w:marLeft w:val="0"/>
          <w:marRight w:val="0"/>
          <w:marTop w:val="0"/>
          <w:marBottom w:val="0"/>
          <w:divBdr>
            <w:top w:val="none" w:sz="0" w:space="0" w:color="auto"/>
            <w:left w:val="none" w:sz="0" w:space="0" w:color="auto"/>
            <w:bottom w:val="none" w:sz="0" w:space="0" w:color="auto"/>
            <w:right w:val="none" w:sz="0" w:space="0" w:color="auto"/>
          </w:divBdr>
        </w:div>
        <w:div w:id="205532657">
          <w:marLeft w:val="0"/>
          <w:marRight w:val="0"/>
          <w:marTop w:val="0"/>
          <w:marBottom w:val="0"/>
          <w:divBdr>
            <w:top w:val="none" w:sz="0" w:space="0" w:color="auto"/>
            <w:left w:val="none" w:sz="0" w:space="0" w:color="auto"/>
            <w:bottom w:val="none" w:sz="0" w:space="0" w:color="auto"/>
            <w:right w:val="none" w:sz="0" w:space="0" w:color="auto"/>
          </w:divBdr>
        </w:div>
        <w:div w:id="403023">
          <w:marLeft w:val="0"/>
          <w:marRight w:val="0"/>
          <w:marTop w:val="0"/>
          <w:marBottom w:val="0"/>
          <w:divBdr>
            <w:top w:val="none" w:sz="0" w:space="0" w:color="auto"/>
            <w:left w:val="none" w:sz="0" w:space="0" w:color="auto"/>
            <w:bottom w:val="none" w:sz="0" w:space="0" w:color="auto"/>
            <w:right w:val="none" w:sz="0" w:space="0" w:color="auto"/>
          </w:divBdr>
        </w:div>
        <w:div w:id="1181238978">
          <w:marLeft w:val="0"/>
          <w:marRight w:val="0"/>
          <w:marTop w:val="0"/>
          <w:marBottom w:val="0"/>
          <w:divBdr>
            <w:top w:val="none" w:sz="0" w:space="0" w:color="auto"/>
            <w:left w:val="none" w:sz="0" w:space="0" w:color="auto"/>
            <w:bottom w:val="none" w:sz="0" w:space="0" w:color="auto"/>
            <w:right w:val="none" w:sz="0" w:space="0" w:color="auto"/>
          </w:divBdr>
        </w:div>
        <w:div w:id="316301993">
          <w:marLeft w:val="0"/>
          <w:marRight w:val="0"/>
          <w:marTop w:val="240"/>
          <w:marBottom w:val="240"/>
          <w:divBdr>
            <w:top w:val="none" w:sz="0" w:space="0" w:color="auto"/>
            <w:left w:val="none" w:sz="0" w:space="0" w:color="auto"/>
            <w:bottom w:val="none" w:sz="0" w:space="0" w:color="auto"/>
            <w:right w:val="none" w:sz="0" w:space="0" w:color="auto"/>
          </w:divBdr>
        </w:div>
      </w:divsChild>
    </w:div>
    <w:div w:id="492990302">
      <w:bodyDiv w:val="1"/>
      <w:marLeft w:val="0"/>
      <w:marRight w:val="0"/>
      <w:marTop w:val="0"/>
      <w:marBottom w:val="0"/>
      <w:divBdr>
        <w:top w:val="none" w:sz="0" w:space="0" w:color="auto"/>
        <w:left w:val="none" w:sz="0" w:space="0" w:color="auto"/>
        <w:bottom w:val="none" w:sz="0" w:space="0" w:color="auto"/>
        <w:right w:val="none" w:sz="0" w:space="0" w:color="auto"/>
      </w:divBdr>
    </w:div>
    <w:div w:id="623927656">
      <w:bodyDiv w:val="1"/>
      <w:marLeft w:val="0"/>
      <w:marRight w:val="0"/>
      <w:marTop w:val="0"/>
      <w:marBottom w:val="0"/>
      <w:divBdr>
        <w:top w:val="none" w:sz="0" w:space="0" w:color="auto"/>
        <w:left w:val="none" w:sz="0" w:space="0" w:color="auto"/>
        <w:bottom w:val="none" w:sz="0" w:space="0" w:color="auto"/>
        <w:right w:val="none" w:sz="0" w:space="0" w:color="auto"/>
      </w:divBdr>
      <w:divsChild>
        <w:div w:id="50276803">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1578318438">
              <w:blockQuote w:val="1"/>
              <w:marLeft w:val="0"/>
              <w:marRight w:val="0"/>
              <w:marTop w:val="120"/>
              <w:marBottom w:val="120"/>
              <w:divBdr>
                <w:top w:val="none" w:sz="0" w:space="0" w:color="auto"/>
                <w:left w:val="none" w:sz="0" w:space="0" w:color="auto"/>
                <w:bottom w:val="none" w:sz="0" w:space="0" w:color="auto"/>
                <w:right w:val="none" w:sz="0" w:space="0" w:color="auto"/>
              </w:divBdr>
            </w:div>
            <w:div w:id="110780910">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62785296">
      <w:bodyDiv w:val="1"/>
      <w:marLeft w:val="0"/>
      <w:marRight w:val="0"/>
      <w:marTop w:val="0"/>
      <w:marBottom w:val="0"/>
      <w:divBdr>
        <w:top w:val="none" w:sz="0" w:space="0" w:color="auto"/>
        <w:left w:val="none" w:sz="0" w:space="0" w:color="auto"/>
        <w:bottom w:val="none" w:sz="0" w:space="0" w:color="auto"/>
        <w:right w:val="none" w:sz="0" w:space="0" w:color="auto"/>
      </w:divBdr>
    </w:div>
    <w:div w:id="953708025">
      <w:bodyDiv w:val="1"/>
      <w:marLeft w:val="0"/>
      <w:marRight w:val="0"/>
      <w:marTop w:val="0"/>
      <w:marBottom w:val="0"/>
      <w:divBdr>
        <w:top w:val="none" w:sz="0" w:space="0" w:color="auto"/>
        <w:left w:val="none" w:sz="0" w:space="0" w:color="auto"/>
        <w:bottom w:val="none" w:sz="0" w:space="0" w:color="auto"/>
        <w:right w:val="none" w:sz="0" w:space="0" w:color="auto"/>
      </w:divBdr>
    </w:div>
    <w:div w:id="1141996414">
      <w:bodyDiv w:val="1"/>
      <w:marLeft w:val="0"/>
      <w:marRight w:val="0"/>
      <w:marTop w:val="0"/>
      <w:marBottom w:val="0"/>
      <w:divBdr>
        <w:top w:val="none" w:sz="0" w:space="0" w:color="auto"/>
        <w:left w:val="none" w:sz="0" w:space="0" w:color="auto"/>
        <w:bottom w:val="none" w:sz="0" w:space="0" w:color="auto"/>
        <w:right w:val="none" w:sz="0" w:space="0" w:color="auto"/>
      </w:divBdr>
      <w:divsChild>
        <w:div w:id="96290985">
          <w:marLeft w:val="0"/>
          <w:marRight w:val="0"/>
          <w:marTop w:val="0"/>
          <w:marBottom w:val="0"/>
          <w:divBdr>
            <w:top w:val="none" w:sz="0" w:space="0" w:color="auto"/>
            <w:left w:val="none" w:sz="0" w:space="0" w:color="auto"/>
            <w:bottom w:val="none" w:sz="0" w:space="0" w:color="auto"/>
            <w:right w:val="none" w:sz="0" w:space="0" w:color="auto"/>
          </w:divBdr>
        </w:div>
        <w:div w:id="125197237">
          <w:marLeft w:val="0"/>
          <w:marRight w:val="0"/>
          <w:marTop w:val="0"/>
          <w:marBottom w:val="0"/>
          <w:divBdr>
            <w:top w:val="none" w:sz="0" w:space="0" w:color="auto"/>
            <w:left w:val="none" w:sz="0" w:space="0" w:color="auto"/>
            <w:bottom w:val="none" w:sz="0" w:space="0" w:color="auto"/>
            <w:right w:val="none" w:sz="0" w:space="0" w:color="auto"/>
          </w:divBdr>
        </w:div>
      </w:divsChild>
    </w:div>
    <w:div w:id="1159224359">
      <w:bodyDiv w:val="1"/>
      <w:marLeft w:val="0"/>
      <w:marRight w:val="0"/>
      <w:marTop w:val="0"/>
      <w:marBottom w:val="0"/>
      <w:divBdr>
        <w:top w:val="none" w:sz="0" w:space="0" w:color="auto"/>
        <w:left w:val="none" w:sz="0" w:space="0" w:color="auto"/>
        <w:bottom w:val="none" w:sz="0" w:space="0" w:color="auto"/>
        <w:right w:val="none" w:sz="0" w:space="0" w:color="auto"/>
      </w:divBdr>
    </w:div>
    <w:div w:id="1305506487">
      <w:bodyDiv w:val="1"/>
      <w:marLeft w:val="0"/>
      <w:marRight w:val="0"/>
      <w:marTop w:val="0"/>
      <w:marBottom w:val="0"/>
      <w:divBdr>
        <w:top w:val="none" w:sz="0" w:space="0" w:color="auto"/>
        <w:left w:val="none" w:sz="0" w:space="0" w:color="auto"/>
        <w:bottom w:val="none" w:sz="0" w:space="0" w:color="auto"/>
        <w:right w:val="none" w:sz="0" w:space="0" w:color="auto"/>
      </w:divBdr>
      <w:divsChild>
        <w:div w:id="1170758414">
          <w:blockQuote w:val="1"/>
          <w:marLeft w:val="960"/>
          <w:marRight w:val="0"/>
          <w:marTop w:val="120"/>
          <w:marBottom w:val="120"/>
          <w:divBdr>
            <w:top w:val="none" w:sz="0" w:space="0" w:color="auto"/>
            <w:left w:val="none" w:sz="0" w:space="0" w:color="auto"/>
            <w:bottom w:val="none" w:sz="0" w:space="0" w:color="auto"/>
            <w:right w:val="none" w:sz="0" w:space="0" w:color="auto"/>
          </w:divBdr>
        </w:div>
        <w:div w:id="1187328521">
          <w:marLeft w:val="0"/>
          <w:marRight w:val="0"/>
          <w:marTop w:val="200"/>
          <w:marBottom w:val="200"/>
          <w:divBdr>
            <w:top w:val="none" w:sz="0" w:space="0" w:color="auto"/>
            <w:left w:val="none" w:sz="0" w:space="0" w:color="auto"/>
            <w:bottom w:val="none" w:sz="0" w:space="0" w:color="auto"/>
            <w:right w:val="none" w:sz="0" w:space="0" w:color="auto"/>
          </w:divBdr>
        </w:div>
        <w:div w:id="143342980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20294606">
              <w:blockQuote w:val="1"/>
              <w:marLeft w:val="600"/>
              <w:marRight w:val="0"/>
              <w:marTop w:val="120"/>
              <w:marBottom w:val="120"/>
              <w:divBdr>
                <w:top w:val="none" w:sz="0" w:space="0" w:color="auto"/>
                <w:left w:val="none" w:sz="0" w:space="0" w:color="auto"/>
                <w:bottom w:val="none" w:sz="0" w:space="0" w:color="auto"/>
                <w:right w:val="none" w:sz="0" w:space="0" w:color="auto"/>
              </w:divBdr>
            </w:div>
            <w:div w:id="107998014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46567712">
                  <w:blockQuote w:val="1"/>
                  <w:marLeft w:val="0"/>
                  <w:marRight w:val="0"/>
                  <w:marTop w:val="120"/>
                  <w:marBottom w:val="120"/>
                  <w:divBdr>
                    <w:top w:val="none" w:sz="0" w:space="0" w:color="auto"/>
                    <w:left w:val="none" w:sz="0" w:space="0" w:color="auto"/>
                    <w:bottom w:val="none" w:sz="0" w:space="0" w:color="auto"/>
                    <w:right w:val="none" w:sz="0" w:space="0" w:color="auto"/>
                  </w:divBdr>
                </w:div>
                <w:div w:id="922837348">
                  <w:blockQuote w:val="1"/>
                  <w:marLeft w:val="0"/>
                  <w:marRight w:val="0"/>
                  <w:marTop w:val="120"/>
                  <w:marBottom w:val="120"/>
                  <w:divBdr>
                    <w:top w:val="none" w:sz="0" w:space="0" w:color="auto"/>
                    <w:left w:val="none" w:sz="0" w:space="0" w:color="auto"/>
                    <w:bottom w:val="none" w:sz="0" w:space="0" w:color="auto"/>
                    <w:right w:val="none" w:sz="0" w:space="0" w:color="auto"/>
                  </w:divBdr>
                </w:div>
                <w:div w:id="1222398757">
                  <w:blockQuote w:val="1"/>
                  <w:marLeft w:val="600"/>
                  <w:marRight w:val="0"/>
                  <w:marTop w:val="120"/>
                  <w:marBottom w:val="120"/>
                  <w:divBdr>
                    <w:top w:val="none" w:sz="0" w:space="0" w:color="auto"/>
                    <w:left w:val="none" w:sz="0" w:space="0" w:color="auto"/>
                    <w:bottom w:val="none" w:sz="0" w:space="0" w:color="auto"/>
                    <w:right w:val="none" w:sz="0" w:space="0" w:color="auto"/>
                  </w:divBdr>
                </w:div>
                <w:div w:id="1611819424">
                  <w:blockQuote w:val="1"/>
                  <w:marLeft w:val="600"/>
                  <w:marRight w:val="0"/>
                  <w:marTop w:val="120"/>
                  <w:marBottom w:val="120"/>
                  <w:divBdr>
                    <w:top w:val="none" w:sz="0" w:space="0" w:color="auto"/>
                    <w:left w:val="none" w:sz="0" w:space="0" w:color="auto"/>
                    <w:bottom w:val="none" w:sz="0" w:space="0" w:color="auto"/>
                    <w:right w:val="none" w:sz="0" w:space="0" w:color="auto"/>
                  </w:divBdr>
                </w:div>
                <w:div w:id="1708023074">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119833635">
              <w:blockQuote w:val="1"/>
              <w:marLeft w:val="600"/>
              <w:marRight w:val="0"/>
              <w:marTop w:val="120"/>
              <w:marBottom w:val="120"/>
              <w:divBdr>
                <w:top w:val="none" w:sz="0" w:space="0" w:color="auto"/>
                <w:left w:val="none" w:sz="0" w:space="0" w:color="auto"/>
                <w:bottom w:val="none" w:sz="0" w:space="0" w:color="auto"/>
                <w:right w:val="none" w:sz="0" w:space="0" w:color="auto"/>
              </w:divBdr>
            </w:div>
            <w:div w:id="178765060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15157009">
                  <w:blockQuote w:val="1"/>
                  <w:marLeft w:val="600"/>
                  <w:marRight w:val="0"/>
                  <w:marTop w:val="120"/>
                  <w:marBottom w:val="120"/>
                  <w:divBdr>
                    <w:top w:val="none" w:sz="0" w:space="0" w:color="auto"/>
                    <w:left w:val="none" w:sz="0" w:space="0" w:color="auto"/>
                    <w:bottom w:val="none" w:sz="0" w:space="0" w:color="auto"/>
                    <w:right w:val="none" w:sz="0" w:space="0" w:color="auto"/>
                  </w:divBdr>
                </w:div>
                <w:div w:id="834340026">
                  <w:blockQuote w:val="1"/>
                  <w:marLeft w:val="600"/>
                  <w:marRight w:val="0"/>
                  <w:marTop w:val="120"/>
                  <w:marBottom w:val="120"/>
                  <w:divBdr>
                    <w:top w:val="none" w:sz="0" w:space="0" w:color="auto"/>
                    <w:left w:val="none" w:sz="0" w:space="0" w:color="auto"/>
                    <w:bottom w:val="none" w:sz="0" w:space="0" w:color="auto"/>
                    <w:right w:val="none" w:sz="0" w:space="0" w:color="auto"/>
                  </w:divBdr>
                </w:div>
                <w:div w:id="929702613">
                  <w:blockQuote w:val="1"/>
                  <w:marLeft w:val="600"/>
                  <w:marRight w:val="0"/>
                  <w:marTop w:val="120"/>
                  <w:marBottom w:val="120"/>
                  <w:divBdr>
                    <w:top w:val="none" w:sz="0" w:space="0" w:color="auto"/>
                    <w:left w:val="none" w:sz="0" w:space="0" w:color="auto"/>
                    <w:bottom w:val="none" w:sz="0" w:space="0" w:color="auto"/>
                    <w:right w:val="none" w:sz="0" w:space="0" w:color="auto"/>
                  </w:divBdr>
                </w:div>
                <w:div w:id="169897200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1552376457">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33942780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95025739">
                  <w:blockQuote w:val="1"/>
                  <w:marLeft w:val="600"/>
                  <w:marRight w:val="0"/>
                  <w:marTop w:val="120"/>
                  <w:marBottom w:val="120"/>
                  <w:divBdr>
                    <w:top w:val="none" w:sz="0" w:space="0" w:color="auto"/>
                    <w:left w:val="none" w:sz="0" w:space="0" w:color="auto"/>
                    <w:bottom w:val="none" w:sz="0" w:space="0" w:color="auto"/>
                    <w:right w:val="none" w:sz="0" w:space="0" w:color="auto"/>
                  </w:divBdr>
                </w:div>
                <w:div w:id="129074850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36898799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818952589">
          <w:blockQuote w:val="1"/>
          <w:marLeft w:val="960"/>
          <w:marRight w:val="0"/>
          <w:marTop w:val="120"/>
          <w:marBottom w:val="120"/>
          <w:divBdr>
            <w:top w:val="none" w:sz="0" w:space="0" w:color="auto"/>
            <w:left w:val="none" w:sz="0" w:space="0" w:color="auto"/>
            <w:bottom w:val="none" w:sz="0" w:space="0" w:color="auto"/>
            <w:right w:val="none" w:sz="0" w:space="0" w:color="auto"/>
          </w:divBdr>
        </w:div>
      </w:divsChild>
    </w:div>
    <w:div w:id="1408651697">
      <w:bodyDiv w:val="1"/>
      <w:marLeft w:val="0"/>
      <w:marRight w:val="0"/>
      <w:marTop w:val="0"/>
      <w:marBottom w:val="0"/>
      <w:divBdr>
        <w:top w:val="none" w:sz="0" w:space="0" w:color="auto"/>
        <w:left w:val="none" w:sz="0" w:space="0" w:color="auto"/>
        <w:bottom w:val="none" w:sz="0" w:space="0" w:color="auto"/>
        <w:right w:val="none" w:sz="0" w:space="0" w:color="auto"/>
      </w:divBdr>
      <w:divsChild>
        <w:div w:id="604001552">
          <w:marLeft w:val="0"/>
          <w:marRight w:val="0"/>
          <w:marTop w:val="0"/>
          <w:marBottom w:val="0"/>
          <w:divBdr>
            <w:top w:val="none" w:sz="0" w:space="0" w:color="auto"/>
            <w:left w:val="none" w:sz="0" w:space="0" w:color="auto"/>
            <w:bottom w:val="none" w:sz="0" w:space="0" w:color="auto"/>
            <w:right w:val="none" w:sz="0" w:space="0" w:color="auto"/>
          </w:divBdr>
          <w:divsChild>
            <w:div w:id="1061557295">
              <w:marLeft w:val="340"/>
              <w:marRight w:val="0"/>
              <w:marTop w:val="160"/>
              <w:marBottom w:val="200"/>
              <w:divBdr>
                <w:top w:val="none" w:sz="0" w:space="0" w:color="auto"/>
                <w:left w:val="none" w:sz="0" w:space="0" w:color="auto"/>
                <w:bottom w:val="none" w:sz="0" w:space="0" w:color="auto"/>
                <w:right w:val="none" w:sz="0" w:space="0" w:color="auto"/>
              </w:divBdr>
            </w:div>
            <w:div w:id="166200018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04622086">
                  <w:marLeft w:val="0"/>
                  <w:marRight w:val="0"/>
                  <w:marTop w:val="0"/>
                  <w:marBottom w:val="0"/>
                  <w:divBdr>
                    <w:top w:val="none" w:sz="0" w:space="0" w:color="auto"/>
                    <w:left w:val="none" w:sz="0" w:space="0" w:color="auto"/>
                    <w:bottom w:val="none" w:sz="0" w:space="0" w:color="auto"/>
                    <w:right w:val="none" w:sz="0" w:space="0" w:color="auto"/>
                  </w:divBdr>
                  <w:divsChild>
                    <w:div w:id="775832224">
                      <w:marLeft w:val="0"/>
                      <w:marRight w:val="0"/>
                      <w:marTop w:val="160"/>
                      <w:marBottom w:val="200"/>
                      <w:divBdr>
                        <w:top w:val="none" w:sz="0" w:space="0" w:color="auto"/>
                        <w:left w:val="none" w:sz="0" w:space="0" w:color="auto"/>
                        <w:bottom w:val="none" w:sz="0" w:space="0" w:color="auto"/>
                        <w:right w:val="none" w:sz="0" w:space="0" w:color="auto"/>
                      </w:divBdr>
                    </w:div>
                    <w:div w:id="1255431669">
                      <w:marLeft w:val="0"/>
                      <w:marRight w:val="0"/>
                      <w:marTop w:val="160"/>
                      <w:marBottom w:val="200"/>
                      <w:divBdr>
                        <w:top w:val="none" w:sz="0" w:space="0" w:color="auto"/>
                        <w:left w:val="none" w:sz="0" w:space="0" w:color="auto"/>
                        <w:bottom w:val="none" w:sz="0" w:space="0" w:color="auto"/>
                        <w:right w:val="none" w:sz="0" w:space="0" w:color="auto"/>
                      </w:divBdr>
                    </w:div>
                  </w:divsChild>
                </w:div>
                <w:div w:id="1684284590">
                  <w:blockQuote w:val="1"/>
                  <w:marLeft w:val="400"/>
                  <w:marRight w:val="0"/>
                  <w:marTop w:val="160"/>
                  <w:marBottom w:val="200"/>
                  <w:divBdr>
                    <w:top w:val="none" w:sz="0" w:space="0" w:color="auto"/>
                    <w:left w:val="none" w:sz="0" w:space="0" w:color="auto"/>
                    <w:bottom w:val="none" w:sz="0" w:space="0" w:color="auto"/>
                    <w:right w:val="none" w:sz="0" w:space="0" w:color="auto"/>
                  </w:divBdr>
                </w:div>
                <w:div w:id="181128915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766392539">
          <w:marLeft w:val="0"/>
          <w:marRight w:val="0"/>
          <w:marTop w:val="0"/>
          <w:marBottom w:val="0"/>
          <w:divBdr>
            <w:top w:val="none" w:sz="0" w:space="0" w:color="auto"/>
            <w:left w:val="none" w:sz="0" w:space="0" w:color="auto"/>
            <w:bottom w:val="none" w:sz="0" w:space="0" w:color="auto"/>
            <w:right w:val="none" w:sz="0" w:space="0" w:color="auto"/>
          </w:divBdr>
          <w:divsChild>
            <w:div w:id="152436871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51720296">
                  <w:blockQuote w:val="1"/>
                  <w:marLeft w:val="400"/>
                  <w:marRight w:val="0"/>
                  <w:marTop w:val="160"/>
                  <w:marBottom w:val="200"/>
                  <w:divBdr>
                    <w:top w:val="none" w:sz="0" w:space="0" w:color="auto"/>
                    <w:left w:val="none" w:sz="0" w:space="0" w:color="auto"/>
                    <w:bottom w:val="none" w:sz="0" w:space="0" w:color="auto"/>
                    <w:right w:val="none" w:sz="0" w:space="0" w:color="auto"/>
                  </w:divBdr>
                </w:div>
                <w:div w:id="2105614535">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396366903">
                      <w:marLeft w:val="0"/>
                      <w:marRight w:val="0"/>
                      <w:marTop w:val="0"/>
                      <w:marBottom w:val="0"/>
                      <w:divBdr>
                        <w:top w:val="none" w:sz="0" w:space="0" w:color="auto"/>
                        <w:left w:val="none" w:sz="0" w:space="0" w:color="auto"/>
                        <w:bottom w:val="none" w:sz="0" w:space="0" w:color="auto"/>
                        <w:right w:val="none" w:sz="0" w:space="0" w:color="auto"/>
                      </w:divBdr>
                      <w:divsChild>
                        <w:div w:id="93882869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00371939">
                      <w:marLeft w:val="0"/>
                      <w:marRight w:val="0"/>
                      <w:marTop w:val="0"/>
                      <w:marBottom w:val="0"/>
                      <w:divBdr>
                        <w:top w:val="none" w:sz="0" w:space="0" w:color="auto"/>
                        <w:left w:val="none" w:sz="0" w:space="0" w:color="auto"/>
                        <w:bottom w:val="none" w:sz="0" w:space="0" w:color="auto"/>
                        <w:right w:val="none" w:sz="0" w:space="0" w:color="auto"/>
                      </w:divBdr>
                      <w:divsChild>
                        <w:div w:id="143473902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2097089966">
              <w:marLeft w:val="340"/>
              <w:marRight w:val="0"/>
              <w:marTop w:val="160"/>
              <w:marBottom w:val="200"/>
              <w:divBdr>
                <w:top w:val="none" w:sz="0" w:space="0" w:color="auto"/>
                <w:left w:val="none" w:sz="0" w:space="0" w:color="auto"/>
                <w:bottom w:val="none" w:sz="0" w:space="0" w:color="auto"/>
                <w:right w:val="none" w:sz="0" w:space="0" w:color="auto"/>
              </w:divBdr>
            </w:div>
          </w:divsChild>
        </w:div>
        <w:div w:id="874119208">
          <w:marLeft w:val="0"/>
          <w:marRight w:val="0"/>
          <w:marTop w:val="0"/>
          <w:marBottom w:val="0"/>
          <w:divBdr>
            <w:top w:val="none" w:sz="0" w:space="0" w:color="auto"/>
            <w:left w:val="none" w:sz="0" w:space="0" w:color="auto"/>
            <w:bottom w:val="none" w:sz="0" w:space="0" w:color="auto"/>
            <w:right w:val="none" w:sz="0" w:space="0" w:color="auto"/>
          </w:divBdr>
          <w:divsChild>
            <w:div w:id="1562249953">
              <w:marLeft w:val="340"/>
              <w:marRight w:val="0"/>
              <w:marTop w:val="160"/>
              <w:marBottom w:val="200"/>
              <w:divBdr>
                <w:top w:val="none" w:sz="0" w:space="0" w:color="auto"/>
                <w:left w:val="none" w:sz="0" w:space="0" w:color="auto"/>
                <w:bottom w:val="none" w:sz="0" w:space="0" w:color="auto"/>
                <w:right w:val="none" w:sz="0" w:space="0" w:color="auto"/>
              </w:divBdr>
            </w:div>
            <w:div w:id="186471074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895461675">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1144156683">
          <w:marLeft w:val="340"/>
          <w:marRight w:val="0"/>
          <w:marTop w:val="160"/>
          <w:marBottom w:val="200"/>
          <w:divBdr>
            <w:top w:val="none" w:sz="0" w:space="0" w:color="auto"/>
            <w:left w:val="none" w:sz="0" w:space="0" w:color="auto"/>
            <w:bottom w:val="none" w:sz="0" w:space="0" w:color="auto"/>
            <w:right w:val="none" w:sz="0" w:space="0" w:color="auto"/>
          </w:divBdr>
        </w:div>
      </w:divsChild>
    </w:div>
    <w:div w:id="1416634678">
      <w:bodyDiv w:val="1"/>
      <w:marLeft w:val="0"/>
      <w:marRight w:val="0"/>
      <w:marTop w:val="0"/>
      <w:marBottom w:val="0"/>
      <w:divBdr>
        <w:top w:val="none" w:sz="0" w:space="0" w:color="auto"/>
        <w:left w:val="none" w:sz="0" w:space="0" w:color="auto"/>
        <w:bottom w:val="none" w:sz="0" w:space="0" w:color="auto"/>
        <w:right w:val="none" w:sz="0" w:space="0" w:color="auto"/>
      </w:divBdr>
    </w:div>
    <w:div w:id="1674336407">
      <w:bodyDiv w:val="1"/>
      <w:marLeft w:val="0"/>
      <w:marRight w:val="0"/>
      <w:marTop w:val="0"/>
      <w:marBottom w:val="0"/>
      <w:divBdr>
        <w:top w:val="none" w:sz="0" w:space="0" w:color="auto"/>
        <w:left w:val="none" w:sz="0" w:space="0" w:color="auto"/>
        <w:bottom w:val="none" w:sz="0" w:space="0" w:color="auto"/>
        <w:right w:val="none" w:sz="0" w:space="0" w:color="auto"/>
      </w:divBdr>
    </w:div>
    <w:div w:id="1713379808">
      <w:bodyDiv w:val="1"/>
      <w:marLeft w:val="0"/>
      <w:marRight w:val="0"/>
      <w:marTop w:val="0"/>
      <w:marBottom w:val="0"/>
      <w:divBdr>
        <w:top w:val="none" w:sz="0" w:space="0" w:color="auto"/>
        <w:left w:val="none" w:sz="0" w:space="0" w:color="auto"/>
        <w:bottom w:val="none" w:sz="0" w:space="0" w:color="auto"/>
        <w:right w:val="none" w:sz="0" w:space="0" w:color="auto"/>
      </w:divBdr>
    </w:div>
    <w:div w:id="1738088106">
      <w:bodyDiv w:val="1"/>
      <w:marLeft w:val="0"/>
      <w:marRight w:val="0"/>
      <w:marTop w:val="0"/>
      <w:marBottom w:val="0"/>
      <w:divBdr>
        <w:top w:val="none" w:sz="0" w:space="0" w:color="auto"/>
        <w:left w:val="none" w:sz="0" w:space="0" w:color="auto"/>
        <w:bottom w:val="none" w:sz="0" w:space="0" w:color="auto"/>
        <w:right w:val="none" w:sz="0" w:space="0" w:color="auto"/>
      </w:divBdr>
      <w:divsChild>
        <w:div w:id="982588751">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1088424331">
              <w:blockQuote w:val="1"/>
              <w:marLeft w:val="0"/>
              <w:marRight w:val="0"/>
              <w:marTop w:val="120"/>
              <w:marBottom w:val="120"/>
              <w:divBdr>
                <w:top w:val="none" w:sz="0" w:space="0" w:color="auto"/>
                <w:left w:val="none" w:sz="0" w:space="0" w:color="auto"/>
                <w:bottom w:val="none" w:sz="0" w:space="0" w:color="auto"/>
                <w:right w:val="none" w:sz="0" w:space="0" w:color="auto"/>
              </w:divBdr>
            </w:div>
            <w:div w:id="651452261">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88812244">
      <w:bodyDiv w:val="1"/>
      <w:marLeft w:val="0"/>
      <w:marRight w:val="0"/>
      <w:marTop w:val="0"/>
      <w:marBottom w:val="0"/>
      <w:divBdr>
        <w:top w:val="none" w:sz="0" w:space="0" w:color="auto"/>
        <w:left w:val="none" w:sz="0" w:space="0" w:color="auto"/>
        <w:bottom w:val="none" w:sz="0" w:space="0" w:color="auto"/>
        <w:right w:val="none" w:sz="0" w:space="0" w:color="auto"/>
      </w:divBdr>
    </w:div>
    <w:div w:id="21065328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veyoursay@justice.tas.gov.a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justice.qld.gov.au/about-us/services/general-counsel/legal-services-coordination-unit/legal-service-directions-and-guidelines/whole-of-government-guidelines-for-responding-to-civil-litigation-involving-child-ab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4</Pages>
  <Words>1172</Words>
  <Characters>6686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cp:lastPrinted>2024-06-10T21:54:00Z</cp:lastPrinted>
  <dcterms:created xsi:type="dcterms:W3CDTF">2024-06-04T23:09:00Z</dcterms:created>
  <dcterms:modified xsi:type="dcterms:W3CDTF">2024-06-10T22:02:00Z</dcterms:modified>
</cp:coreProperties>
</file>