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38F" w:rsidRPr="00404F7A" w:rsidRDefault="0030038F" w:rsidP="0030038F">
      <w:pPr>
        <w:ind w:right="-205"/>
        <w:jc w:val="center"/>
        <w:rPr>
          <w:rFonts w:ascii="Cambria" w:hAnsi="Cambria"/>
          <w:color w:val="000000" w:themeColor="text1"/>
          <w:sz w:val="23"/>
          <w:szCs w:val="23"/>
        </w:rPr>
      </w:pPr>
      <w:r w:rsidRPr="00BC0D6B">
        <w:rPr>
          <w:rFonts w:asciiTheme="minorHAnsi" w:hAnsiTheme="minorHAnsi"/>
          <w:noProof/>
          <w:sz w:val="20"/>
          <w:szCs w:val="20"/>
          <w:lang w:val="en-US" w:eastAsia="en-US"/>
        </w:rPr>
        <w:drawing>
          <wp:inline distT="0" distB="0" distL="0" distR="0" wp14:anchorId="0A8D6D48" wp14:editId="6EA619A0">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30038F" w:rsidRPr="000D3D8B" w:rsidRDefault="0030038F" w:rsidP="0030038F">
      <w:pPr>
        <w:ind w:right="-205"/>
        <w:jc w:val="both"/>
        <w:rPr>
          <w:rFonts w:ascii="Cambria" w:hAnsi="Cambria"/>
          <w:color w:val="000000" w:themeColor="text1"/>
          <w:sz w:val="23"/>
          <w:szCs w:val="23"/>
        </w:rPr>
      </w:pPr>
    </w:p>
    <w:p w:rsidR="0030038F" w:rsidRPr="000D3D8B" w:rsidRDefault="0030038F" w:rsidP="0030038F">
      <w:pPr>
        <w:ind w:right="-205"/>
        <w:jc w:val="both"/>
        <w:rPr>
          <w:rFonts w:ascii="Cambria" w:hAnsi="Cambria"/>
          <w:color w:val="000000" w:themeColor="text1"/>
          <w:sz w:val="23"/>
          <w:szCs w:val="23"/>
        </w:rPr>
      </w:pPr>
    </w:p>
    <w:p w:rsidR="0030038F" w:rsidRPr="000D3D8B" w:rsidRDefault="000D3D8B" w:rsidP="0030038F">
      <w:pPr>
        <w:ind w:right="-205"/>
        <w:jc w:val="both"/>
        <w:rPr>
          <w:rFonts w:ascii="Cambria" w:hAnsi="Cambria"/>
          <w:color w:val="000000" w:themeColor="text1"/>
          <w:sz w:val="23"/>
          <w:szCs w:val="23"/>
        </w:rPr>
      </w:pPr>
      <w:r>
        <w:rPr>
          <w:rFonts w:ascii="Cambria" w:hAnsi="Cambria"/>
          <w:color w:val="000000" w:themeColor="text1"/>
          <w:sz w:val="23"/>
          <w:szCs w:val="23"/>
        </w:rPr>
        <w:t>29</w:t>
      </w:r>
      <w:r w:rsidR="0030038F" w:rsidRPr="000D3D8B">
        <w:rPr>
          <w:rFonts w:ascii="Cambria" w:hAnsi="Cambria"/>
          <w:color w:val="000000" w:themeColor="text1"/>
          <w:sz w:val="23"/>
          <w:szCs w:val="23"/>
        </w:rPr>
        <w:t xml:space="preserve"> July 2024</w:t>
      </w:r>
    </w:p>
    <w:p w:rsidR="0030038F" w:rsidRPr="000D3D8B" w:rsidRDefault="0030038F" w:rsidP="0030038F">
      <w:pPr>
        <w:ind w:right="-347"/>
        <w:rPr>
          <w:rFonts w:ascii="Cambria" w:hAnsi="Cambria"/>
          <w:color w:val="000000" w:themeColor="text1"/>
          <w:sz w:val="23"/>
          <w:szCs w:val="23"/>
        </w:rPr>
      </w:pPr>
    </w:p>
    <w:p w:rsidR="0030038F" w:rsidRPr="000D3D8B" w:rsidRDefault="0030038F" w:rsidP="0030038F">
      <w:pPr>
        <w:ind w:right="-347"/>
        <w:rPr>
          <w:rFonts w:ascii="Cambria" w:hAnsi="Cambria"/>
          <w:color w:val="000000" w:themeColor="text1"/>
          <w:sz w:val="23"/>
          <w:szCs w:val="23"/>
        </w:rPr>
      </w:pPr>
      <w:r w:rsidRPr="000D3D8B">
        <w:rPr>
          <w:rFonts w:ascii="Cambria" w:hAnsi="Cambria"/>
          <w:color w:val="000000" w:themeColor="text1"/>
          <w:sz w:val="23"/>
          <w:szCs w:val="23"/>
        </w:rPr>
        <w:t>Department of Justice</w:t>
      </w:r>
    </w:p>
    <w:p w:rsidR="0030038F" w:rsidRPr="000D3D8B" w:rsidRDefault="0030038F" w:rsidP="0030038F">
      <w:pPr>
        <w:ind w:right="-347"/>
        <w:rPr>
          <w:rFonts w:ascii="Cambria" w:hAnsi="Cambria"/>
          <w:color w:val="000000" w:themeColor="text1"/>
          <w:sz w:val="23"/>
          <w:szCs w:val="23"/>
        </w:rPr>
      </w:pPr>
      <w:r w:rsidRPr="000D3D8B">
        <w:rPr>
          <w:rFonts w:ascii="Cambria" w:hAnsi="Cambria"/>
          <w:color w:val="000000" w:themeColor="text1"/>
          <w:sz w:val="23"/>
          <w:szCs w:val="23"/>
        </w:rPr>
        <w:t>Office of the Secretary</w:t>
      </w:r>
    </w:p>
    <w:p w:rsidR="0030038F" w:rsidRPr="000D3D8B" w:rsidRDefault="0030038F" w:rsidP="0030038F">
      <w:pPr>
        <w:ind w:right="-347"/>
        <w:rPr>
          <w:rFonts w:ascii="Cambria" w:hAnsi="Cambria"/>
          <w:color w:val="000000" w:themeColor="text1"/>
          <w:sz w:val="23"/>
          <w:szCs w:val="23"/>
        </w:rPr>
      </w:pPr>
      <w:r w:rsidRPr="000D3D8B">
        <w:rPr>
          <w:rFonts w:ascii="Cambria" w:hAnsi="Cambria"/>
          <w:color w:val="000000" w:themeColor="text1"/>
          <w:sz w:val="23"/>
          <w:szCs w:val="23"/>
        </w:rPr>
        <w:t>GPO Box 825</w:t>
      </w:r>
    </w:p>
    <w:p w:rsidR="0030038F" w:rsidRPr="000D3D8B" w:rsidRDefault="0030038F" w:rsidP="0030038F">
      <w:pPr>
        <w:ind w:right="-347"/>
        <w:rPr>
          <w:rFonts w:ascii="Cambria" w:hAnsi="Cambria"/>
          <w:color w:val="000000" w:themeColor="text1"/>
          <w:sz w:val="23"/>
          <w:szCs w:val="23"/>
        </w:rPr>
      </w:pPr>
      <w:r w:rsidRPr="000D3D8B">
        <w:rPr>
          <w:rFonts w:ascii="Cambria" w:hAnsi="Cambria"/>
          <w:color w:val="000000" w:themeColor="text1"/>
          <w:sz w:val="23"/>
          <w:szCs w:val="23"/>
        </w:rPr>
        <w:t>Hobart TAS 7001</w:t>
      </w:r>
      <w:r w:rsidRPr="000D3D8B">
        <w:rPr>
          <w:rFonts w:ascii="Cambria" w:hAnsi="Cambria"/>
          <w:color w:val="000000" w:themeColor="text1"/>
          <w:sz w:val="23"/>
          <w:szCs w:val="23"/>
        </w:rPr>
        <w:tab/>
      </w:r>
    </w:p>
    <w:p w:rsidR="0030038F" w:rsidRPr="000D3D8B" w:rsidRDefault="0030038F" w:rsidP="0030038F">
      <w:pPr>
        <w:ind w:left="1440" w:right="-347" w:firstLine="720"/>
        <w:rPr>
          <w:rFonts w:ascii="Cambria" w:hAnsi="Cambria"/>
          <w:color w:val="000000" w:themeColor="text1"/>
          <w:sz w:val="23"/>
          <w:szCs w:val="23"/>
        </w:rPr>
      </w:pPr>
      <w:r w:rsidRPr="000D3D8B">
        <w:rPr>
          <w:rFonts w:ascii="Cambria" w:hAnsi="Cambria"/>
          <w:i/>
          <w:iCs/>
          <w:color w:val="000000" w:themeColor="text1"/>
          <w:sz w:val="23"/>
          <w:szCs w:val="23"/>
        </w:rPr>
        <w:t xml:space="preserve">via email: </w:t>
      </w:r>
      <w:hyperlink r:id="rId8" w:history="1">
        <w:r w:rsidRPr="000D3D8B">
          <w:rPr>
            <w:rStyle w:val="Hyperlink"/>
            <w:rFonts w:ascii="Cambria" w:hAnsi="Cambria"/>
            <w:i/>
            <w:iCs/>
            <w:sz w:val="23"/>
            <w:szCs w:val="23"/>
          </w:rPr>
          <w:t>haveyoursay@justice.tas.gov.au</w:t>
        </w:r>
      </w:hyperlink>
      <w:r w:rsidRPr="000D3D8B">
        <w:rPr>
          <w:rFonts w:ascii="Cambria" w:hAnsi="Cambria"/>
          <w:i/>
          <w:iCs/>
          <w:color w:val="000000" w:themeColor="text1"/>
          <w:sz w:val="23"/>
          <w:szCs w:val="23"/>
        </w:rPr>
        <w:t xml:space="preserve"> </w:t>
      </w:r>
    </w:p>
    <w:p w:rsidR="0030038F" w:rsidRPr="000D3D8B" w:rsidRDefault="0030038F" w:rsidP="0030038F">
      <w:pPr>
        <w:ind w:right="-347"/>
        <w:rPr>
          <w:rFonts w:ascii="Cambria" w:hAnsi="Cambria"/>
          <w:color w:val="000000" w:themeColor="text1"/>
          <w:sz w:val="23"/>
          <w:szCs w:val="23"/>
        </w:rPr>
      </w:pPr>
    </w:p>
    <w:p w:rsidR="0030038F" w:rsidRPr="000D3D8B" w:rsidRDefault="0030038F" w:rsidP="0030038F">
      <w:pPr>
        <w:ind w:right="-347"/>
        <w:rPr>
          <w:rFonts w:ascii="Cambria" w:hAnsi="Cambria"/>
          <w:color w:val="000000" w:themeColor="text1"/>
          <w:sz w:val="23"/>
          <w:szCs w:val="23"/>
        </w:rPr>
      </w:pPr>
      <w:r w:rsidRPr="000D3D8B">
        <w:rPr>
          <w:rFonts w:ascii="Cambria" w:hAnsi="Cambria"/>
          <w:color w:val="000000" w:themeColor="text1"/>
          <w:sz w:val="23"/>
          <w:szCs w:val="23"/>
        </w:rPr>
        <w:t>To the Department of Justice,  </w:t>
      </w:r>
    </w:p>
    <w:p w:rsidR="0030038F" w:rsidRPr="000D3D8B" w:rsidRDefault="0030038F" w:rsidP="0030038F">
      <w:pPr>
        <w:pBdr>
          <w:bottom w:val="single" w:sz="6" w:space="1" w:color="auto"/>
        </w:pBdr>
        <w:ind w:right="-347"/>
        <w:rPr>
          <w:rFonts w:ascii="Cambria" w:hAnsi="Cambria"/>
          <w:b/>
          <w:color w:val="000000" w:themeColor="text1"/>
          <w:sz w:val="23"/>
          <w:szCs w:val="23"/>
        </w:rPr>
      </w:pPr>
      <w:r w:rsidRPr="000D3D8B">
        <w:rPr>
          <w:rFonts w:ascii="Cambria" w:hAnsi="Cambria"/>
          <w:b/>
          <w:color w:val="000000" w:themeColor="text1"/>
          <w:sz w:val="23"/>
          <w:szCs w:val="23"/>
        </w:rPr>
        <w:t xml:space="preserve">Re: </w:t>
      </w:r>
      <w:r w:rsidRPr="000D3D8B">
        <w:rPr>
          <w:rFonts w:ascii="Cambria" w:hAnsi="Cambria"/>
          <w:b/>
          <w:i/>
          <w:iCs/>
          <w:color w:val="000000" w:themeColor="text1"/>
          <w:sz w:val="23"/>
          <w:szCs w:val="23"/>
        </w:rPr>
        <w:t>Judicial Commissions Bill 2024</w:t>
      </w:r>
    </w:p>
    <w:p w:rsidR="0030038F" w:rsidRPr="000D3D8B" w:rsidRDefault="0030038F" w:rsidP="0030038F">
      <w:pPr>
        <w:ind w:right="-347"/>
        <w:rPr>
          <w:rFonts w:ascii="Cambria" w:hAnsi="Cambria"/>
          <w:color w:val="000000" w:themeColor="text1"/>
          <w:sz w:val="23"/>
          <w:szCs w:val="23"/>
        </w:rPr>
      </w:pPr>
    </w:p>
    <w:p w:rsidR="0083769B" w:rsidRPr="000D3D8B" w:rsidRDefault="0030038F" w:rsidP="0030038F">
      <w:pPr>
        <w:ind w:right="-347"/>
        <w:jc w:val="both"/>
        <w:rPr>
          <w:rFonts w:ascii="Cambria" w:hAnsi="Cambria"/>
          <w:color w:val="000000" w:themeColor="text1"/>
          <w:sz w:val="23"/>
          <w:szCs w:val="23"/>
        </w:rPr>
      </w:pPr>
      <w:r w:rsidRPr="000D3D8B">
        <w:rPr>
          <w:rFonts w:ascii="Cambria" w:hAnsi="Cambria" w:cs="Calibri"/>
          <w:color w:val="000000" w:themeColor="text1"/>
          <w:sz w:val="23"/>
          <w:szCs w:val="23"/>
        </w:rPr>
        <w:t>Community Legal Centres Tasmania (CLC Tas)</w:t>
      </w:r>
      <w:r w:rsidRPr="000D3D8B">
        <w:rPr>
          <w:rFonts w:ascii="Cambria" w:hAnsi="Cambria"/>
          <w:color w:val="000000" w:themeColor="text1"/>
          <w:sz w:val="23"/>
          <w:szCs w:val="23"/>
        </w:rPr>
        <w:t xml:space="preserve"> welcomes the opportunity to provide comment on the </w:t>
      </w:r>
      <w:r w:rsidRPr="000D3D8B">
        <w:rPr>
          <w:rFonts w:ascii="Cambria" w:hAnsi="Cambria"/>
          <w:i/>
          <w:iCs/>
          <w:color w:val="000000" w:themeColor="text1"/>
          <w:sz w:val="23"/>
          <w:szCs w:val="23"/>
        </w:rPr>
        <w:t xml:space="preserve">Judicial Commissions Bill 2024 </w:t>
      </w:r>
      <w:r w:rsidRPr="000D3D8B">
        <w:rPr>
          <w:rFonts w:ascii="Cambria" w:hAnsi="Cambria"/>
          <w:color w:val="000000" w:themeColor="text1"/>
          <w:sz w:val="23"/>
          <w:szCs w:val="23"/>
        </w:rPr>
        <w:t>(‘the Bill’).</w:t>
      </w:r>
      <w:r w:rsidR="00F06BA0" w:rsidRPr="000D3D8B">
        <w:rPr>
          <w:rFonts w:ascii="Cambria" w:hAnsi="Cambria"/>
          <w:color w:val="000000" w:themeColor="text1"/>
          <w:sz w:val="23"/>
          <w:szCs w:val="23"/>
        </w:rPr>
        <w:t xml:space="preserve"> We support the Government’s intention to establish a judicial council which will act as the key complaints handling body in relation to judicial officers in Tasmania.</w:t>
      </w:r>
      <w:r w:rsidR="002D7AB4" w:rsidRPr="000D3D8B">
        <w:rPr>
          <w:rStyle w:val="FootnoteReference"/>
          <w:rFonts w:ascii="Cambria" w:hAnsi="Cambria"/>
          <w:color w:val="000000" w:themeColor="text1"/>
          <w:sz w:val="23"/>
          <w:szCs w:val="23"/>
        </w:rPr>
        <w:footnoteReference w:id="1"/>
      </w:r>
      <w:r w:rsidR="00F06BA0" w:rsidRPr="000D3D8B">
        <w:rPr>
          <w:rFonts w:ascii="Cambria" w:hAnsi="Cambria"/>
          <w:color w:val="000000" w:themeColor="text1"/>
          <w:sz w:val="23"/>
          <w:szCs w:val="23"/>
        </w:rPr>
        <w:t xml:space="preserve"> </w:t>
      </w:r>
    </w:p>
    <w:p w:rsidR="00F06BA0" w:rsidRPr="000D3D8B" w:rsidRDefault="00F06BA0" w:rsidP="0030038F">
      <w:pPr>
        <w:ind w:right="-347"/>
        <w:jc w:val="both"/>
        <w:rPr>
          <w:rFonts w:ascii="Cambria" w:hAnsi="Cambria"/>
          <w:color w:val="000000" w:themeColor="text1"/>
          <w:sz w:val="23"/>
          <w:szCs w:val="23"/>
        </w:rPr>
      </w:pPr>
    </w:p>
    <w:p w:rsidR="0030038F" w:rsidRPr="000D3D8B" w:rsidRDefault="0030038F" w:rsidP="0030038F">
      <w:pPr>
        <w:ind w:right="-347"/>
        <w:jc w:val="both"/>
        <w:rPr>
          <w:rFonts w:ascii="Cambria" w:hAnsi="Cambria" w:cs="Arial"/>
          <w:color w:val="000000" w:themeColor="text1"/>
          <w:sz w:val="23"/>
          <w:szCs w:val="23"/>
        </w:rPr>
      </w:pPr>
      <w:r w:rsidRPr="000D3D8B">
        <w:rPr>
          <w:rFonts w:ascii="Cambria" w:hAnsi="Cambria" w:cs="Arial"/>
          <w:color w:val="000000" w:themeColor="text1"/>
          <w:sz w:val="23"/>
          <w:szCs w:val="23"/>
        </w:rPr>
        <w:t>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w:t>
      </w:r>
      <w:r w:rsidR="000D3D8B" w:rsidRPr="000D3D8B">
        <w:rPr>
          <w:rFonts w:ascii="Cambria" w:hAnsi="Cambria" w:cs="Arial"/>
          <w:color w:val="000000" w:themeColor="text1"/>
          <w:sz w:val="23"/>
          <w:szCs w:val="23"/>
        </w:rPr>
        <w:t xml:space="preserve"> </w:t>
      </w:r>
    </w:p>
    <w:p w:rsidR="0030038F" w:rsidRPr="000D3D8B" w:rsidRDefault="0030038F" w:rsidP="0030038F">
      <w:pPr>
        <w:ind w:right="-347"/>
        <w:jc w:val="both"/>
        <w:rPr>
          <w:rFonts w:ascii="Cambria" w:hAnsi="Cambria" w:cs="Arial"/>
          <w:color w:val="000000" w:themeColor="text1"/>
          <w:sz w:val="23"/>
          <w:szCs w:val="23"/>
        </w:rPr>
      </w:pPr>
    </w:p>
    <w:p w:rsidR="0083769B" w:rsidRPr="000D3D8B" w:rsidRDefault="00646CC7" w:rsidP="0030038F">
      <w:pPr>
        <w:ind w:right="-347"/>
        <w:jc w:val="both"/>
        <w:rPr>
          <w:rFonts w:ascii="Cambria" w:hAnsi="Cambria" w:cs="Arial"/>
          <w:color w:val="000000" w:themeColor="text1"/>
          <w:sz w:val="23"/>
          <w:szCs w:val="23"/>
        </w:rPr>
      </w:pPr>
      <w:r w:rsidRPr="000D3D8B">
        <w:rPr>
          <w:rFonts w:ascii="Cambria" w:hAnsi="Cambria"/>
          <w:color w:val="000000" w:themeColor="text1"/>
          <w:sz w:val="23"/>
          <w:szCs w:val="23"/>
        </w:rPr>
        <w:t xml:space="preserve">It is essential that Tasmania have a strong, independent and transparent judiciary. </w:t>
      </w:r>
      <w:r w:rsidRPr="000D3D8B">
        <w:rPr>
          <w:rFonts w:ascii="Cambria" w:hAnsi="Cambria" w:cs="Arial"/>
          <w:color w:val="000000" w:themeColor="text1"/>
          <w:sz w:val="23"/>
          <w:szCs w:val="23"/>
        </w:rPr>
        <w:t>As Appleby and Le Mire have noted “w</w:t>
      </w:r>
      <w:r w:rsidRPr="000D3D8B">
        <w:rPr>
          <w:rFonts w:ascii="Cambria" w:hAnsi="Cambria"/>
          <w:sz w:val="23"/>
          <w:szCs w:val="23"/>
        </w:rPr>
        <w:t>hile problematic judicial conduct is rare, failing to acknowledge and address it can damage the integrity of the courts and undermine their ability to fulfil the judicial function”.</w:t>
      </w:r>
      <w:r w:rsidRPr="000D3D8B">
        <w:rPr>
          <w:rStyle w:val="FootnoteReference"/>
          <w:rFonts w:ascii="Cambria" w:hAnsi="Cambria"/>
          <w:sz w:val="23"/>
          <w:szCs w:val="23"/>
        </w:rPr>
        <w:footnoteReference w:id="2"/>
      </w:r>
      <w:r w:rsidRPr="000D3D8B">
        <w:rPr>
          <w:rFonts w:ascii="Cambria" w:hAnsi="Cambria" w:cs="Arial"/>
          <w:color w:val="000000" w:themeColor="text1"/>
          <w:sz w:val="23"/>
          <w:szCs w:val="23"/>
        </w:rPr>
        <w:t xml:space="preserve"> </w:t>
      </w:r>
      <w:r w:rsidRPr="000D3D8B">
        <w:rPr>
          <w:rFonts w:ascii="Cambria" w:hAnsi="Cambria"/>
          <w:color w:val="000000" w:themeColor="text1"/>
          <w:sz w:val="23"/>
          <w:szCs w:val="23"/>
        </w:rPr>
        <w:t xml:space="preserve">The </w:t>
      </w:r>
      <w:r w:rsidRPr="000D3D8B">
        <w:rPr>
          <w:rFonts w:ascii="Cambria" w:hAnsi="Cambria" w:cs="Arial"/>
          <w:color w:val="000000" w:themeColor="text1"/>
          <w:sz w:val="23"/>
          <w:szCs w:val="23"/>
        </w:rPr>
        <w:t xml:space="preserve">establishment of a judicial council will assist in maintaining public confidence in the judiciary by providing a mechanism to fairly and expeditiously address complaints directed against judicial officers. However, with </w:t>
      </w:r>
      <w:r w:rsidR="0083769B" w:rsidRPr="000D3D8B">
        <w:rPr>
          <w:rFonts w:ascii="Cambria" w:hAnsi="Cambria"/>
          <w:color w:val="000000" w:themeColor="text1"/>
          <w:sz w:val="23"/>
          <w:szCs w:val="23"/>
        </w:rPr>
        <w:t>i</w:t>
      </w:r>
      <w:r w:rsidR="0083769B" w:rsidRPr="000D3D8B">
        <w:rPr>
          <w:rFonts w:ascii="Cambria" w:hAnsi="Cambria"/>
          <w:sz w:val="23"/>
          <w:szCs w:val="23"/>
        </w:rPr>
        <w:t xml:space="preserve">ndependent judicial complaints bodies having already been established in Victoria, New South Wales, South Australia, the Northern Territory and the Australian Capital Territory, </w:t>
      </w:r>
      <w:r w:rsidR="00BD02AB" w:rsidRPr="000D3D8B">
        <w:rPr>
          <w:rFonts w:ascii="Cambria" w:hAnsi="Cambria" w:cs="Arial"/>
          <w:color w:val="000000" w:themeColor="text1"/>
          <w:sz w:val="23"/>
          <w:szCs w:val="23"/>
        </w:rPr>
        <w:t>there are reforms that should be considered to strengthen the Bill.</w:t>
      </w:r>
      <w:r w:rsidR="000D3D8B" w:rsidRPr="000D3D8B">
        <w:rPr>
          <w:rFonts w:ascii="Cambria" w:hAnsi="Cambria" w:cs="Arial"/>
          <w:color w:val="000000" w:themeColor="text1"/>
          <w:sz w:val="23"/>
          <w:szCs w:val="23"/>
        </w:rPr>
        <w:t xml:space="preserve"> </w:t>
      </w:r>
      <w:r w:rsidR="000D3D8B" w:rsidRPr="000D3D8B">
        <w:rPr>
          <w:rFonts w:ascii="Cambria" w:hAnsi="Cambria" w:cs="Segoe UI"/>
          <w:color w:val="000000"/>
          <w:sz w:val="23"/>
          <w:szCs w:val="23"/>
        </w:rPr>
        <w:t>In particular, we note that we have read the detailed submission of Professor Gabrielle Appleby and her colleagues and endorse the recommendations made.</w:t>
      </w:r>
      <w:r w:rsidR="00BD02AB" w:rsidRPr="000D3D8B">
        <w:rPr>
          <w:rFonts w:ascii="Cambria" w:hAnsi="Cambria" w:cs="Arial"/>
          <w:color w:val="000000" w:themeColor="text1"/>
          <w:sz w:val="23"/>
          <w:szCs w:val="23"/>
        </w:rPr>
        <w:t xml:space="preserve">  </w:t>
      </w:r>
    </w:p>
    <w:p w:rsidR="000D3D8B" w:rsidRPr="000D3D8B" w:rsidRDefault="000D3D8B" w:rsidP="0030038F">
      <w:pPr>
        <w:ind w:right="-347"/>
        <w:jc w:val="both"/>
        <w:rPr>
          <w:rFonts w:ascii="Cambria" w:hAnsi="Cambria" w:cs="Arial"/>
          <w:b/>
          <w:bCs/>
          <w:color w:val="000000" w:themeColor="text1"/>
          <w:sz w:val="23"/>
          <w:szCs w:val="23"/>
        </w:rPr>
      </w:pPr>
    </w:p>
    <w:p w:rsidR="008A6F68" w:rsidRPr="000D3D8B" w:rsidRDefault="008A6F68" w:rsidP="0030038F">
      <w:pPr>
        <w:ind w:right="-347"/>
        <w:jc w:val="both"/>
        <w:rPr>
          <w:rFonts w:ascii="Cambria" w:hAnsi="Cambria" w:cs="Arial"/>
          <w:b/>
          <w:bCs/>
          <w:color w:val="000000" w:themeColor="text1"/>
          <w:sz w:val="23"/>
          <w:szCs w:val="23"/>
        </w:rPr>
      </w:pPr>
      <w:r w:rsidRPr="000D3D8B">
        <w:rPr>
          <w:rFonts w:ascii="Cambria" w:hAnsi="Cambria" w:cs="Arial"/>
          <w:b/>
          <w:bCs/>
          <w:color w:val="000000" w:themeColor="text1"/>
          <w:sz w:val="23"/>
          <w:szCs w:val="23"/>
        </w:rPr>
        <w:t>Procedural fairness</w:t>
      </w:r>
    </w:p>
    <w:p w:rsidR="00B91035" w:rsidRPr="000D3D8B" w:rsidRDefault="00EE7836" w:rsidP="0030038F">
      <w:pPr>
        <w:ind w:right="-347"/>
        <w:jc w:val="both"/>
        <w:rPr>
          <w:rFonts w:ascii="Cambria" w:hAnsi="Cambria"/>
          <w:sz w:val="23"/>
          <w:szCs w:val="23"/>
        </w:rPr>
      </w:pPr>
      <w:r w:rsidRPr="000D3D8B">
        <w:rPr>
          <w:rFonts w:ascii="Cambria" w:hAnsi="Cambria" w:cs="Arial"/>
          <w:color w:val="000000" w:themeColor="text1"/>
          <w:sz w:val="23"/>
          <w:szCs w:val="23"/>
        </w:rPr>
        <w:t xml:space="preserve">Clause 21 of the Bill expressly provides that in </w:t>
      </w:r>
      <w:r w:rsidRPr="000D3D8B">
        <w:rPr>
          <w:rFonts w:ascii="Cambria" w:hAnsi="Cambria"/>
          <w:sz w:val="23"/>
          <w:szCs w:val="23"/>
        </w:rPr>
        <w:t>carrying out its functions, neither the council or commission are bound by the rules of evidence, and do whatever is necessary or expedient for the fair and expeditious examination of the complaint.</w:t>
      </w:r>
      <w:r w:rsidR="003245D5" w:rsidRPr="000D3D8B">
        <w:rPr>
          <w:rFonts w:ascii="Cambria" w:hAnsi="Cambria"/>
          <w:sz w:val="23"/>
          <w:szCs w:val="23"/>
        </w:rPr>
        <w:t xml:space="preserve"> These procedural rules are similar to other investigative bodies in Tasmania including the Integrity Commission. However, the </w:t>
      </w:r>
      <w:r w:rsidR="003245D5" w:rsidRPr="000D3D8B">
        <w:rPr>
          <w:rFonts w:ascii="Cambria" w:hAnsi="Cambria"/>
          <w:i/>
          <w:iCs/>
          <w:sz w:val="23"/>
          <w:szCs w:val="23"/>
        </w:rPr>
        <w:lastRenderedPageBreak/>
        <w:t xml:space="preserve">Integrity Commission Act 2009 </w:t>
      </w:r>
      <w:r w:rsidR="003245D5" w:rsidRPr="000D3D8B">
        <w:rPr>
          <w:rFonts w:ascii="Cambria" w:hAnsi="Cambria"/>
          <w:sz w:val="23"/>
          <w:szCs w:val="23"/>
        </w:rPr>
        <w:t xml:space="preserve">(Tas) </w:t>
      </w:r>
      <w:r w:rsidR="00B91035" w:rsidRPr="000D3D8B">
        <w:rPr>
          <w:rFonts w:ascii="Cambria" w:hAnsi="Cambria"/>
          <w:sz w:val="23"/>
          <w:szCs w:val="23"/>
        </w:rPr>
        <w:t xml:space="preserve">goes further in </w:t>
      </w:r>
      <w:r w:rsidR="003245D5" w:rsidRPr="000D3D8B">
        <w:rPr>
          <w:rFonts w:ascii="Cambria" w:hAnsi="Cambria"/>
          <w:sz w:val="23"/>
          <w:szCs w:val="23"/>
        </w:rPr>
        <w:t>expressly provid</w:t>
      </w:r>
      <w:r w:rsidR="00B91035" w:rsidRPr="000D3D8B">
        <w:rPr>
          <w:rFonts w:ascii="Cambria" w:hAnsi="Cambria"/>
          <w:sz w:val="23"/>
          <w:szCs w:val="23"/>
        </w:rPr>
        <w:t>ing</w:t>
      </w:r>
      <w:r w:rsidR="003245D5" w:rsidRPr="000D3D8B">
        <w:rPr>
          <w:rFonts w:ascii="Cambria" w:hAnsi="Cambria"/>
          <w:sz w:val="23"/>
          <w:szCs w:val="23"/>
        </w:rPr>
        <w:t xml:space="preserve"> that </w:t>
      </w:r>
      <w:r w:rsidR="00BD02AB" w:rsidRPr="000D3D8B">
        <w:rPr>
          <w:rFonts w:ascii="Cambria" w:hAnsi="Cambria"/>
          <w:sz w:val="23"/>
          <w:szCs w:val="23"/>
        </w:rPr>
        <w:t xml:space="preserve">any </w:t>
      </w:r>
      <w:r w:rsidR="003245D5" w:rsidRPr="000D3D8B">
        <w:rPr>
          <w:rFonts w:ascii="Cambria" w:hAnsi="Cambria"/>
          <w:sz w:val="23"/>
          <w:szCs w:val="23"/>
        </w:rPr>
        <w:t>investigation</w:t>
      </w:r>
      <w:r w:rsidR="00BD02AB" w:rsidRPr="000D3D8B">
        <w:rPr>
          <w:rFonts w:ascii="Cambria" w:hAnsi="Cambria"/>
          <w:sz w:val="23"/>
          <w:szCs w:val="23"/>
        </w:rPr>
        <w:t xml:space="preserve"> or</w:t>
      </w:r>
      <w:r w:rsidR="00FE30ED" w:rsidRPr="000D3D8B">
        <w:rPr>
          <w:rFonts w:ascii="Cambria" w:hAnsi="Cambria"/>
          <w:sz w:val="23"/>
          <w:szCs w:val="23"/>
        </w:rPr>
        <w:t xml:space="preserve"> inquir</w:t>
      </w:r>
      <w:r w:rsidR="00BD02AB" w:rsidRPr="000D3D8B">
        <w:rPr>
          <w:rFonts w:ascii="Cambria" w:hAnsi="Cambria"/>
          <w:sz w:val="23"/>
          <w:szCs w:val="23"/>
        </w:rPr>
        <w:t>y</w:t>
      </w:r>
      <w:r w:rsidR="00FE30ED" w:rsidRPr="000D3D8B">
        <w:rPr>
          <w:rFonts w:ascii="Cambria" w:hAnsi="Cambria"/>
          <w:sz w:val="23"/>
          <w:szCs w:val="23"/>
        </w:rPr>
        <w:t xml:space="preserve"> “must </w:t>
      </w:r>
      <w:r w:rsidR="003245D5" w:rsidRPr="000D3D8B">
        <w:rPr>
          <w:rFonts w:ascii="Cambria" w:hAnsi="Cambria"/>
          <w:sz w:val="23"/>
          <w:szCs w:val="23"/>
        </w:rPr>
        <w:t>observe the rules of procedural fairness”.</w:t>
      </w:r>
      <w:r w:rsidR="003245D5" w:rsidRPr="000D3D8B">
        <w:rPr>
          <w:rStyle w:val="FootnoteReference"/>
          <w:rFonts w:ascii="Cambria" w:hAnsi="Cambria"/>
          <w:sz w:val="23"/>
          <w:szCs w:val="23"/>
        </w:rPr>
        <w:footnoteReference w:id="3"/>
      </w:r>
      <w:r w:rsidR="00FE30ED" w:rsidRPr="000D3D8B">
        <w:rPr>
          <w:rFonts w:ascii="Cambria" w:hAnsi="Cambria"/>
          <w:sz w:val="23"/>
          <w:szCs w:val="23"/>
        </w:rPr>
        <w:t xml:space="preserve"> </w:t>
      </w:r>
      <w:r w:rsidR="0052675B" w:rsidRPr="000D3D8B">
        <w:rPr>
          <w:rFonts w:ascii="Cambria" w:hAnsi="Cambria"/>
          <w:sz w:val="23"/>
          <w:szCs w:val="23"/>
        </w:rPr>
        <w:t xml:space="preserve">Similarly, in the investigation of lawyers, the Legal Profession Board is required to </w:t>
      </w:r>
      <w:r w:rsidR="00B91035" w:rsidRPr="000D3D8B">
        <w:rPr>
          <w:rFonts w:ascii="Cambria" w:hAnsi="Cambria"/>
          <w:sz w:val="23"/>
          <w:szCs w:val="23"/>
        </w:rPr>
        <w:t>recognise</w:t>
      </w:r>
      <w:r w:rsidR="0052675B" w:rsidRPr="000D3D8B">
        <w:rPr>
          <w:rFonts w:ascii="Cambria" w:hAnsi="Cambria"/>
          <w:sz w:val="23"/>
          <w:szCs w:val="23"/>
        </w:rPr>
        <w:t xml:space="preserve"> that “the rules of procedural fairness… apply in relation to the investigation of complaints…”.</w:t>
      </w:r>
      <w:r w:rsidR="0052675B" w:rsidRPr="000D3D8B">
        <w:rPr>
          <w:rStyle w:val="FootnoteReference"/>
          <w:rFonts w:ascii="Cambria" w:hAnsi="Cambria"/>
          <w:sz w:val="23"/>
          <w:szCs w:val="23"/>
        </w:rPr>
        <w:footnoteReference w:id="4"/>
      </w:r>
      <w:r w:rsidR="0052675B" w:rsidRPr="000D3D8B">
        <w:rPr>
          <w:rFonts w:ascii="Cambria" w:hAnsi="Cambria"/>
          <w:sz w:val="23"/>
          <w:szCs w:val="23"/>
        </w:rPr>
        <w:t xml:space="preserve"> </w:t>
      </w:r>
    </w:p>
    <w:p w:rsidR="00B91035" w:rsidRPr="000D3D8B" w:rsidRDefault="00B91035" w:rsidP="0030038F">
      <w:pPr>
        <w:ind w:right="-347"/>
        <w:jc w:val="both"/>
        <w:rPr>
          <w:rFonts w:ascii="Cambria" w:hAnsi="Cambria"/>
          <w:sz w:val="23"/>
          <w:szCs w:val="23"/>
        </w:rPr>
      </w:pPr>
    </w:p>
    <w:p w:rsidR="003245D5" w:rsidRPr="000D3D8B" w:rsidRDefault="00B91035" w:rsidP="0030038F">
      <w:pPr>
        <w:ind w:right="-347"/>
        <w:jc w:val="both"/>
        <w:rPr>
          <w:rFonts w:ascii="Cambria" w:hAnsi="Cambria"/>
          <w:sz w:val="23"/>
          <w:szCs w:val="23"/>
        </w:rPr>
      </w:pPr>
      <w:r w:rsidRPr="000D3D8B">
        <w:rPr>
          <w:rFonts w:ascii="Cambria" w:hAnsi="Cambria"/>
          <w:sz w:val="23"/>
          <w:szCs w:val="23"/>
        </w:rPr>
        <w:t xml:space="preserve">In the same way that other investigative bodies </w:t>
      </w:r>
      <w:r w:rsidR="00BD02AB" w:rsidRPr="000D3D8B">
        <w:rPr>
          <w:rFonts w:ascii="Cambria" w:hAnsi="Cambria"/>
          <w:sz w:val="23"/>
          <w:szCs w:val="23"/>
        </w:rPr>
        <w:t xml:space="preserve">in Tasmania </w:t>
      </w:r>
      <w:r w:rsidRPr="000D3D8B">
        <w:rPr>
          <w:rFonts w:ascii="Cambria" w:hAnsi="Cambria"/>
          <w:sz w:val="23"/>
          <w:szCs w:val="23"/>
        </w:rPr>
        <w:t>are required to afford procedural fairness, w</w:t>
      </w:r>
      <w:r w:rsidR="0052675B" w:rsidRPr="000D3D8B">
        <w:rPr>
          <w:rFonts w:ascii="Cambria" w:hAnsi="Cambria"/>
          <w:sz w:val="23"/>
          <w:szCs w:val="23"/>
        </w:rPr>
        <w:t xml:space="preserve">e strongly believe that </w:t>
      </w:r>
      <w:r w:rsidRPr="000D3D8B">
        <w:rPr>
          <w:rFonts w:ascii="Cambria" w:hAnsi="Cambria"/>
          <w:sz w:val="23"/>
          <w:szCs w:val="23"/>
        </w:rPr>
        <w:t>the Bill</w:t>
      </w:r>
      <w:r w:rsidR="0052675B" w:rsidRPr="000D3D8B">
        <w:rPr>
          <w:rFonts w:ascii="Cambria" w:hAnsi="Cambria"/>
          <w:sz w:val="23"/>
          <w:szCs w:val="23"/>
        </w:rPr>
        <w:t xml:space="preserve"> should </w:t>
      </w:r>
      <w:r w:rsidR="00BD02AB" w:rsidRPr="000D3D8B">
        <w:rPr>
          <w:rFonts w:ascii="Cambria" w:hAnsi="Cambria"/>
          <w:sz w:val="23"/>
          <w:szCs w:val="23"/>
        </w:rPr>
        <w:t>explicitly recognise adherence to</w:t>
      </w:r>
      <w:r w:rsidRPr="000D3D8B">
        <w:rPr>
          <w:rFonts w:ascii="Cambria" w:hAnsi="Cambria"/>
          <w:sz w:val="23"/>
          <w:szCs w:val="23"/>
        </w:rPr>
        <w:t xml:space="preserve"> procedural fairness. A good model that could be adopted is found in South Australia which requires that </w:t>
      </w:r>
      <w:r w:rsidR="00BD02AB" w:rsidRPr="000D3D8B">
        <w:rPr>
          <w:rFonts w:ascii="Cambria" w:hAnsi="Cambria"/>
          <w:sz w:val="23"/>
          <w:szCs w:val="23"/>
        </w:rPr>
        <w:t xml:space="preserve">both the Judicial Conduct Commissioner and judicial conduct panels </w:t>
      </w:r>
      <w:r w:rsidRPr="000D3D8B">
        <w:rPr>
          <w:rFonts w:ascii="Cambria" w:hAnsi="Cambria"/>
          <w:sz w:val="23"/>
          <w:szCs w:val="23"/>
        </w:rPr>
        <w:t>“must act in accordance with the principles of procedural fairness”</w:t>
      </w:r>
      <w:r w:rsidR="00BD02AB" w:rsidRPr="000D3D8B">
        <w:rPr>
          <w:rFonts w:ascii="Cambria" w:hAnsi="Cambria"/>
          <w:sz w:val="23"/>
          <w:szCs w:val="23"/>
        </w:rPr>
        <w:t xml:space="preserve"> in the carrying out of its investigations and hearings.</w:t>
      </w:r>
      <w:r w:rsidRPr="000D3D8B">
        <w:rPr>
          <w:rStyle w:val="FootnoteReference"/>
          <w:rFonts w:ascii="Cambria" w:hAnsi="Cambria"/>
          <w:sz w:val="23"/>
          <w:szCs w:val="23"/>
        </w:rPr>
        <w:footnoteReference w:id="5"/>
      </w:r>
    </w:p>
    <w:p w:rsidR="00C81C3E" w:rsidRPr="000D3D8B" w:rsidRDefault="00C81C3E" w:rsidP="0030038F">
      <w:pPr>
        <w:ind w:right="-347"/>
        <w:jc w:val="both"/>
        <w:rPr>
          <w:rFonts w:ascii="Cambria" w:hAnsi="Cambria"/>
          <w:sz w:val="23"/>
          <w:szCs w:val="23"/>
        </w:rPr>
      </w:pPr>
    </w:p>
    <w:p w:rsidR="00C81C3E" w:rsidRPr="000D3D8B" w:rsidRDefault="00C81C3E" w:rsidP="0030038F">
      <w:pPr>
        <w:ind w:right="-347"/>
        <w:jc w:val="both"/>
        <w:rPr>
          <w:rFonts w:ascii="Cambria" w:hAnsi="Cambria"/>
          <w:b/>
          <w:bCs/>
          <w:sz w:val="23"/>
          <w:szCs w:val="23"/>
        </w:rPr>
      </w:pPr>
      <w:r w:rsidRPr="000D3D8B">
        <w:rPr>
          <w:rFonts w:ascii="Cambria" w:hAnsi="Cambria"/>
          <w:b/>
          <w:bCs/>
          <w:sz w:val="23"/>
          <w:szCs w:val="23"/>
        </w:rPr>
        <w:t xml:space="preserve">Judicial Education </w:t>
      </w:r>
    </w:p>
    <w:p w:rsidR="001E6045" w:rsidRPr="000D3D8B" w:rsidRDefault="004A05CC" w:rsidP="0030038F">
      <w:pPr>
        <w:ind w:right="-347"/>
        <w:jc w:val="both"/>
        <w:rPr>
          <w:rFonts w:ascii="Cambria" w:hAnsi="Cambria"/>
          <w:sz w:val="23"/>
          <w:szCs w:val="23"/>
        </w:rPr>
      </w:pPr>
      <w:r w:rsidRPr="000D3D8B">
        <w:rPr>
          <w:rFonts w:ascii="Cambria" w:hAnsi="Cambria"/>
          <w:sz w:val="23"/>
          <w:szCs w:val="23"/>
        </w:rPr>
        <w:t xml:space="preserve">The Bill establishes </w:t>
      </w:r>
      <w:r w:rsidR="006A77F4" w:rsidRPr="000D3D8B">
        <w:rPr>
          <w:rFonts w:ascii="Cambria" w:hAnsi="Cambria"/>
          <w:sz w:val="23"/>
          <w:szCs w:val="23"/>
        </w:rPr>
        <w:t xml:space="preserve">that </w:t>
      </w:r>
      <w:r w:rsidRPr="000D3D8B">
        <w:rPr>
          <w:rFonts w:ascii="Cambria" w:hAnsi="Cambria"/>
          <w:sz w:val="23"/>
          <w:szCs w:val="23"/>
        </w:rPr>
        <w:t>the function</w:t>
      </w:r>
      <w:r w:rsidR="006A77F4" w:rsidRPr="000D3D8B">
        <w:rPr>
          <w:rFonts w:ascii="Cambria" w:hAnsi="Cambria"/>
          <w:sz w:val="23"/>
          <w:szCs w:val="23"/>
        </w:rPr>
        <w:t>s of the judicial council</w:t>
      </w:r>
      <w:r w:rsidRPr="000D3D8B">
        <w:rPr>
          <w:rFonts w:ascii="Cambria" w:hAnsi="Cambria"/>
          <w:sz w:val="23"/>
          <w:szCs w:val="23"/>
        </w:rPr>
        <w:t xml:space="preserve"> </w:t>
      </w:r>
      <w:r w:rsidR="006A77F4" w:rsidRPr="000D3D8B">
        <w:rPr>
          <w:rFonts w:ascii="Cambria" w:hAnsi="Cambria"/>
          <w:sz w:val="23"/>
          <w:szCs w:val="23"/>
        </w:rPr>
        <w:t>are to</w:t>
      </w:r>
      <w:r w:rsidRPr="000D3D8B">
        <w:rPr>
          <w:rFonts w:ascii="Cambria" w:hAnsi="Cambria"/>
          <w:sz w:val="23"/>
          <w:szCs w:val="23"/>
        </w:rPr>
        <w:t xml:space="preserve"> receiv</w:t>
      </w:r>
      <w:r w:rsidR="006A77F4" w:rsidRPr="000D3D8B">
        <w:rPr>
          <w:rFonts w:ascii="Cambria" w:hAnsi="Cambria"/>
          <w:sz w:val="23"/>
          <w:szCs w:val="23"/>
        </w:rPr>
        <w:t>e</w:t>
      </w:r>
      <w:r w:rsidRPr="000D3D8B">
        <w:rPr>
          <w:rFonts w:ascii="Cambria" w:hAnsi="Cambria"/>
          <w:sz w:val="23"/>
          <w:szCs w:val="23"/>
        </w:rPr>
        <w:t>, examin</w:t>
      </w:r>
      <w:r w:rsidR="006A77F4" w:rsidRPr="000D3D8B">
        <w:rPr>
          <w:rFonts w:ascii="Cambria" w:hAnsi="Cambria"/>
          <w:sz w:val="23"/>
          <w:szCs w:val="23"/>
        </w:rPr>
        <w:t>e</w:t>
      </w:r>
      <w:r w:rsidRPr="000D3D8B">
        <w:rPr>
          <w:rFonts w:ascii="Cambria" w:hAnsi="Cambria"/>
          <w:sz w:val="23"/>
          <w:szCs w:val="23"/>
        </w:rPr>
        <w:t xml:space="preserve"> and refer complaints about judicial officers.</w:t>
      </w:r>
      <w:r w:rsidR="005362B9" w:rsidRPr="000D3D8B">
        <w:rPr>
          <w:rFonts w:ascii="Cambria" w:hAnsi="Cambria"/>
          <w:sz w:val="23"/>
          <w:szCs w:val="23"/>
        </w:rPr>
        <w:t xml:space="preserve"> </w:t>
      </w:r>
      <w:r w:rsidRPr="000D3D8B">
        <w:rPr>
          <w:rFonts w:ascii="Cambria" w:hAnsi="Cambria"/>
          <w:sz w:val="23"/>
          <w:szCs w:val="23"/>
        </w:rPr>
        <w:t xml:space="preserve">Whilst these functions are </w:t>
      </w:r>
      <w:r w:rsidR="00242F48" w:rsidRPr="000D3D8B">
        <w:rPr>
          <w:rFonts w:ascii="Cambria" w:hAnsi="Cambria"/>
          <w:sz w:val="23"/>
          <w:szCs w:val="23"/>
        </w:rPr>
        <w:t>supported</w:t>
      </w:r>
      <w:r w:rsidRPr="000D3D8B">
        <w:rPr>
          <w:rFonts w:ascii="Cambria" w:hAnsi="Cambria"/>
          <w:sz w:val="23"/>
          <w:szCs w:val="23"/>
        </w:rPr>
        <w:t xml:space="preserve">, an </w:t>
      </w:r>
      <w:r w:rsidR="00BD02AB" w:rsidRPr="000D3D8B">
        <w:rPr>
          <w:rFonts w:ascii="Cambria" w:hAnsi="Cambria"/>
          <w:sz w:val="23"/>
          <w:szCs w:val="23"/>
        </w:rPr>
        <w:t>additional</w:t>
      </w:r>
      <w:r w:rsidRPr="000D3D8B">
        <w:rPr>
          <w:rFonts w:ascii="Cambria" w:hAnsi="Cambria"/>
          <w:sz w:val="23"/>
          <w:szCs w:val="23"/>
        </w:rPr>
        <w:t xml:space="preserve"> function that sho</w:t>
      </w:r>
      <w:r w:rsidR="00830BAB" w:rsidRPr="000D3D8B">
        <w:rPr>
          <w:rFonts w:ascii="Cambria" w:hAnsi="Cambria"/>
          <w:sz w:val="23"/>
          <w:szCs w:val="23"/>
        </w:rPr>
        <w:t>uld</w:t>
      </w:r>
      <w:r w:rsidRPr="000D3D8B">
        <w:rPr>
          <w:rFonts w:ascii="Cambria" w:hAnsi="Cambria"/>
          <w:sz w:val="23"/>
          <w:szCs w:val="23"/>
        </w:rPr>
        <w:t xml:space="preserve"> be included is </w:t>
      </w:r>
      <w:r w:rsidR="00775C7E" w:rsidRPr="000D3D8B">
        <w:rPr>
          <w:rFonts w:ascii="Cambria" w:hAnsi="Cambria"/>
          <w:sz w:val="23"/>
          <w:szCs w:val="23"/>
        </w:rPr>
        <w:t xml:space="preserve">ongoing </w:t>
      </w:r>
      <w:r w:rsidRPr="000D3D8B">
        <w:rPr>
          <w:rFonts w:ascii="Cambria" w:hAnsi="Cambria"/>
          <w:sz w:val="23"/>
          <w:szCs w:val="23"/>
        </w:rPr>
        <w:t>judicial</w:t>
      </w:r>
      <w:r w:rsidR="00775C7E" w:rsidRPr="000D3D8B">
        <w:rPr>
          <w:rFonts w:ascii="Cambria" w:hAnsi="Cambria"/>
          <w:sz w:val="23"/>
          <w:szCs w:val="23"/>
        </w:rPr>
        <w:t xml:space="preserve"> training and development (‘judicial education’)</w:t>
      </w:r>
      <w:r w:rsidRPr="000D3D8B">
        <w:rPr>
          <w:rFonts w:ascii="Cambria" w:hAnsi="Cambria"/>
          <w:sz w:val="23"/>
          <w:szCs w:val="23"/>
        </w:rPr>
        <w:t xml:space="preserve">. </w:t>
      </w:r>
      <w:r w:rsidR="00775C7E" w:rsidRPr="000D3D8B">
        <w:rPr>
          <w:rFonts w:ascii="Cambria" w:hAnsi="Cambria"/>
          <w:sz w:val="23"/>
          <w:szCs w:val="23"/>
        </w:rPr>
        <w:t xml:space="preserve">As one former United States Chief Justice </w:t>
      </w:r>
      <w:r w:rsidR="006A77F4" w:rsidRPr="000D3D8B">
        <w:rPr>
          <w:rFonts w:ascii="Cambria" w:hAnsi="Cambria"/>
          <w:sz w:val="23"/>
          <w:szCs w:val="23"/>
        </w:rPr>
        <w:t xml:space="preserve">has </w:t>
      </w:r>
      <w:r w:rsidR="00775C7E" w:rsidRPr="000D3D8B">
        <w:rPr>
          <w:rFonts w:ascii="Cambria" w:hAnsi="Cambria"/>
          <w:sz w:val="23"/>
          <w:szCs w:val="23"/>
        </w:rPr>
        <w:t>recognised, “[w]hen lawyers don black robes to become judges, they do not magically acquire all the knowledge, experience, and skills necessary to become excellent judges”.</w:t>
      </w:r>
      <w:r w:rsidR="00775C7E" w:rsidRPr="000D3D8B">
        <w:rPr>
          <w:rStyle w:val="FootnoteReference"/>
          <w:rFonts w:ascii="Cambria" w:hAnsi="Cambria"/>
          <w:sz w:val="23"/>
          <w:szCs w:val="23"/>
        </w:rPr>
        <w:footnoteReference w:id="6"/>
      </w:r>
      <w:r w:rsidR="00775C7E" w:rsidRPr="000D3D8B">
        <w:rPr>
          <w:rFonts w:ascii="Cambria" w:hAnsi="Cambria"/>
          <w:sz w:val="23"/>
          <w:szCs w:val="23"/>
        </w:rPr>
        <w:t xml:space="preserve"> </w:t>
      </w:r>
    </w:p>
    <w:p w:rsidR="001E6045" w:rsidRPr="000D3D8B" w:rsidRDefault="001E6045" w:rsidP="0030038F">
      <w:pPr>
        <w:ind w:right="-347"/>
        <w:jc w:val="both"/>
        <w:rPr>
          <w:rFonts w:ascii="Cambria" w:hAnsi="Cambria"/>
          <w:sz w:val="23"/>
          <w:szCs w:val="23"/>
        </w:rPr>
      </w:pPr>
    </w:p>
    <w:p w:rsidR="002A529F" w:rsidRPr="000D3D8B" w:rsidRDefault="004A05CC" w:rsidP="0030038F">
      <w:pPr>
        <w:ind w:right="-347"/>
        <w:jc w:val="both"/>
        <w:rPr>
          <w:rFonts w:ascii="Cambria" w:hAnsi="Cambria"/>
          <w:sz w:val="23"/>
          <w:szCs w:val="23"/>
        </w:rPr>
      </w:pPr>
      <w:r w:rsidRPr="000D3D8B">
        <w:rPr>
          <w:rFonts w:ascii="Cambria" w:hAnsi="Cambria"/>
          <w:sz w:val="23"/>
          <w:szCs w:val="23"/>
        </w:rPr>
        <w:t xml:space="preserve">Architects, </w:t>
      </w:r>
      <w:r w:rsidR="00242F48" w:rsidRPr="000D3D8B">
        <w:rPr>
          <w:rFonts w:ascii="Cambria" w:hAnsi="Cambria"/>
          <w:sz w:val="23"/>
          <w:szCs w:val="23"/>
        </w:rPr>
        <w:t xml:space="preserve">lawyers, </w:t>
      </w:r>
      <w:r w:rsidRPr="000D3D8B">
        <w:rPr>
          <w:rFonts w:ascii="Cambria" w:hAnsi="Cambria"/>
          <w:sz w:val="23"/>
          <w:szCs w:val="23"/>
        </w:rPr>
        <w:t>real estate agents</w:t>
      </w:r>
      <w:r w:rsidR="00242F48" w:rsidRPr="000D3D8B">
        <w:rPr>
          <w:rFonts w:ascii="Cambria" w:hAnsi="Cambria"/>
          <w:sz w:val="23"/>
          <w:szCs w:val="23"/>
        </w:rPr>
        <w:t xml:space="preserve"> and </w:t>
      </w:r>
      <w:r w:rsidR="00AE6FA8" w:rsidRPr="000D3D8B">
        <w:rPr>
          <w:rFonts w:ascii="Cambria" w:hAnsi="Cambria"/>
          <w:sz w:val="23"/>
          <w:szCs w:val="23"/>
        </w:rPr>
        <w:t>teachers</w:t>
      </w:r>
      <w:r w:rsidR="00242F48" w:rsidRPr="000D3D8B">
        <w:rPr>
          <w:rFonts w:ascii="Cambria" w:hAnsi="Cambria"/>
          <w:sz w:val="23"/>
          <w:szCs w:val="23"/>
        </w:rPr>
        <w:t xml:space="preserve"> are just </w:t>
      </w:r>
      <w:r w:rsidR="002A529F" w:rsidRPr="000D3D8B">
        <w:rPr>
          <w:rFonts w:ascii="Cambria" w:hAnsi="Cambria"/>
          <w:sz w:val="23"/>
          <w:szCs w:val="23"/>
        </w:rPr>
        <w:t xml:space="preserve">some </w:t>
      </w:r>
      <w:r w:rsidR="00242F48" w:rsidRPr="000D3D8B">
        <w:rPr>
          <w:rFonts w:ascii="Cambria" w:hAnsi="Cambria"/>
          <w:sz w:val="23"/>
          <w:szCs w:val="23"/>
        </w:rPr>
        <w:t xml:space="preserve">of the </w:t>
      </w:r>
      <w:r w:rsidR="00775C7E" w:rsidRPr="000D3D8B">
        <w:rPr>
          <w:rFonts w:ascii="Cambria" w:hAnsi="Cambria"/>
          <w:sz w:val="23"/>
          <w:szCs w:val="23"/>
        </w:rPr>
        <w:t xml:space="preserve">Tasmanian </w:t>
      </w:r>
      <w:r w:rsidR="00242F48" w:rsidRPr="000D3D8B">
        <w:rPr>
          <w:rFonts w:ascii="Cambria" w:hAnsi="Cambria"/>
          <w:sz w:val="23"/>
          <w:szCs w:val="23"/>
        </w:rPr>
        <w:t>professions that are required to undertake continuing professional development as part of their employment.</w:t>
      </w:r>
      <w:r w:rsidRPr="000D3D8B">
        <w:rPr>
          <w:rStyle w:val="FootnoteReference"/>
          <w:rFonts w:ascii="Cambria" w:hAnsi="Cambria"/>
          <w:sz w:val="23"/>
          <w:szCs w:val="23"/>
        </w:rPr>
        <w:footnoteReference w:id="7"/>
      </w:r>
      <w:r w:rsidR="00242F48" w:rsidRPr="000D3D8B">
        <w:rPr>
          <w:rFonts w:ascii="Cambria" w:hAnsi="Cambria"/>
          <w:sz w:val="23"/>
          <w:szCs w:val="23"/>
        </w:rPr>
        <w:t xml:space="preserve"> We do not believe that there is any good reason why </w:t>
      </w:r>
      <w:r w:rsidR="001E6045" w:rsidRPr="000D3D8B">
        <w:rPr>
          <w:rFonts w:ascii="Cambria" w:hAnsi="Cambria"/>
          <w:sz w:val="23"/>
          <w:szCs w:val="23"/>
        </w:rPr>
        <w:t>judicial officers</w:t>
      </w:r>
      <w:r w:rsidR="00242F48" w:rsidRPr="000D3D8B">
        <w:rPr>
          <w:rFonts w:ascii="Cambria" w:hAnsi="Cambria"/>
          <w:sz w:val="23"/>
          <w:szCs w:val="23"/>
        </w:rPr>
        <w:t xml:space="preserve"> should not </w:t>
      </w:r>
      <w:r w:rsidR="00BF1ACF" w:rsidRPr="000D3D8B">
        <w:rPr>
          <w:rFonts w:ascii="Cambria" w:hAnsi="Cambria"/>
          <w:sz w:val="23"/>
          <w:szCs w:val="23"/>
        </w:rPr>
        <w:t xml:space="preserve">also </w:t>
      </w:r>
      <w:r w:rsidR="00242F48" w:rsidRPr="000D3D8B">
        <w:rPr>
          <w:rFonts w:ascii="Cambria" w:hAnsi="Cambria"/>
          <w:sz w:val="23"/>
          <w:szCs w:val="23"/>
        </w:rPr>
        <w:t>be included.</w:t>
      </w:r>
      <w:r w:rsidR="002A529F" w:rsidRPr="000D3D8B">
        <w:rPr>
          <w:rFonts w:ascii="Cambria" w:hAnsi="Cambria"/>
          <w:sz w:val="23"/>
          <w:szCs w:val="23"/>
        </w:rPr>
        <w:t xml:space="preserve"> Indeed, as the Australian Law Reform Commission has noted:</w:t>
      </w:r>
      <w:r w:rsidR="002A529F" w:rsidRPr="000D3D8B">
        <w:rPr>
          <w:rStyle w:val="FootnoteReference"/>
          <w:rFonts w:ascii="Cambria" w:hAnsi="Cambria"/>
          <w:sz w:val="23"/>
          <w:szCs w:val="23"/>
        </w:rPr>
        <w:footnoteReference w:id="8"/>
      </w:r>
    </w:p>
    <w:p w:rsidR="00830BAB" w:rsidRPr="000D3D8B" w:rsidRDefault="00830BAB" w:rsidP="0030038F">
      <w:pPr>
        <w:ind w:right="-347"/>
        <w:jc w:val="both"/>
        <w:rPr>
          <w:rFonts w:ascii="Cambria" w:hAnsi="Cambria"/>
          <w:sz w:val="23"/>
          <w:szCs w:val="23"/>
        </w:rPr>
      </w:pPr>
    </w:p>
    <w:p w:rsidR="003245D5" w:rsidRPr="000D3D8B" w:rsidRDefault="002A529F" w:rsidP="00FE3DD3">
      <w:pPr>
        <w:ind w:left="720" w:right="-347"/>
        <w:jc w:val="both"/>
        <w:rPr>
          <w:rFonts w:ascii="Cambria" w:hAnsi="Cambria"/>
          <w:i/>
          <w:iCs/>
          <w:sz w:val="23"/>
          <w:szCs w:val="23"/>
        </w:rPr>
      </w:pPr>
      <w:r w:rsidRPr="000D3D8B">
        <w:rPr>
          <w:rFonts w:ascii="Cambria" w:hAnsi="Cambria"/>
          <w:i/>
          <w:iCs/>
          <w:sz w:val="23"/>
          <w:szCs w:val="23"/>
        </w:rPr>
        <w:t xml:space="preserve">Much of the impetus to secure judicial education has come from judges and magistrates themselves ... in response to the changing roles and responsibilities of judges and decisionmakers, and the increased public demands, expectations and scrutiny of the justice system. </w:t>
      </w:r>
      <w:r w:rsidR="00242F48" w:rsidRPr="000D3D8B">
        <w:rPr>
          <w:rFonts w:ascii="Cambria" w:hAnsi="Cambria"/>
          <w:i/>
          <w:iCs/>
          <w:sz w:val="23"/>
          <w:szCs w:val="23"/>
        </w:rPr>
        <w:t xml:space="preserve"> </w:t>
      </w:r>
    </w:p>
    <w:p w:rsidR="003245D5" w:rsidRPr="000D3D8B" w:rsidRDefault="003245D5" w:rsidP="0030038F">
      <w:pPr>
        <w:ind w:right="-347"/>
        <w:jc w:val="both"/>
        <w:rPr>
          <w:rFonts w:ascii="Cambria" w:hAnsi="Cambria"/>
          <w:sz w:val="23"/>
          <w:szCs w:val="23"/>
        </w:rPr>
      </w:pPr>
    </w:p>
    <w:p w:rsidR="005362B9" w:rsidRPr="000D3D8B" w:rsidRDefault="001E6045" w:rsidP="0030038F">
      <w:pPr>
        <w:ind w:right="-347"/>
        <w:jc w:val="both"/>
        <w:rPr>
          <w:rFonts w:ascii="Cambria" w:hAnsi="Cambria"/>
          <w:sz w:val="23"/>
          <w:szCs w:val="23"/>
        </w:rPr>
      </w:pPr>
      <w:r w:rsidRPr="000D3D8B">
        <w:rPr>
          <w:rFonts w:ascii="Cambria" w:hAnsi="Cambria"/>
          <w:sz w:val="23"/>
          <w:szCs w:val="23"/>
        </w:rPr>
        <w:t>In New South Wales, j</w:t>
      </w:r>
      <w:r w:rsidR="00FE3DD3" w:rsidRPr="000D3D8B">
        <w:rPr>
          <w:rFonts w:ascii="Cambria" w:hAnsi="Cambria"/>
          <w:sz w:val="23"/>
          <w:szCs w:val="23"/>
        </w:rPr>
        <w:t>udicial education is recognised as a function of the</w:t>
      </w:r>
      <w:r w:rsidRPr="000D3D8B">
        <w:rPr>
          <w:rFonts w:ascii="Cambria" w:hAnsi="Cambria"/>
          <w:sz w:val="23"/>
          <w:szCs w:val="23"/>
        </w:rPr>
        <w:t xml:space="preserve"> </w:t>
      </w:r>
      <w:r w:rsidR="00FE3DD3" w:rsidRPr="000D3D8B">
        <w:rPr>
          <w:rFonts w:ascii="Cambria" w:hAnsi="Cambria"/>
          <w:sz w:val="23"/>
          <w:szCs w:val="23"/>
        </w:rPr>
        <w:t>Judicial Commission</w:t>
      </w:r>
      <w:r w:rsidR="00FE3DD3" w:rsidRPr="000D3D8B">
        <w:rPr>
          <w:rStyle w:val="FootnoteReference"/>
          <w:rFonts w:ascii="Cambria" w:hAnsi="Cambria"/>
          <w:sz w:val="23"/>
          <w:szCs w:val="23"/>
        </w:rPr>
        <w:footnoteReference w:id="9"/>
      </w:r>
      <w:r w:rsidR="00FE3DD3" w:rsidRPr="000D3D8B">
        <w:rPr>
          <w:rFonts w:ascii="Cambria" w:hAnsi="Cambria"/>
          <w:sz w:val="23"/>
          <w:szCs w:val="23"/>
        </w:rPr>
        <w:t xml:space="preserve"> </w:t>
      </w:r>
      <w:r w:rsidR="00775C7E" w:rsidRPr="000D3D8B">
        <w:rPr>
          <w:rFonts w:ascii="Cambria" w:hAnsi="Cambria"/>
          <w:sz w:val="23"/>
          <w:szCs w:val="23"/>
        </w:rPr>
        <w:t>and w</w:t>
      </w:r>
      <w:r w:rsidR="00FE3DD3" w:rsidRPr="000D3D8B">
        <w:rPr>
          <w:rFonts w:ascii="Cambria" w:hAnsi="Cambria"/>
          <w:sz w:val="23"/>
          <w:szCs w:val="23"/>
        </w:rPr>
        <w:t xml:space="preserve">e strongly recommend that </w:t>
      </w:r>
      <w:r w:rsidR="0009281D" w:rsidRPr="000D3D8B">
        <w:rPr>
          <w:rFonts w:ascii="Cambria" w:hAnsi="Cambria"/>
          <w:sz w:val="23"/>
          <w:szCs w:val="23"/>
        </w:rPr>
        <w:t>it</w:t>
      </w:r>
      <w:r w:rsidR="00FE3DD3" w:rsidRPr="000D3D8B">
        <w:rPr>
          <w:rFonts w:ascii="Cambria" w:hAnsi="Cambria"/>
          <w:sz w:val="23"/>
          <w:szCs w:val="23"/>
        </w:rPr>
        <w:t xml:space="preserve"> is included as a function of Tasmania’s judicial council.</w:t>
      </w:r>
    </w:p>
    <w:p w:rsidR="00AA0247" w:rsidRPr="000D3D8B" w:rsidRDefault="00AA0247" w:rsidP="0030038F">
      <w:pPr>
        <w:ind w:right="-347"/>
        <w:jc w:val="both"/>
        <w:rPr>
          <w:rFonts w:ascii="Cambria" w:hAnsi="Cambria"/>
          <w:sz w:val="23"/>
          <w:szCs w:val="23"/>
        </w:rPr>
      </w:pPr>
    </w:p>
    <w:p w:rsidR="00AA0247" w:rsidRPr="000D3D8B" w:rsidRDefault="006430DA" w:rsidP="0030038F">
      <w:pPr>
        <w:ind w:right="-347"/>
        <w:jc w:val="both"/>
        <w:rPr>
          <w:rFonts w:ascii="Cambria" w:hAnsi="Cambria"/>
          <w:b/>
          <w:bCs/>
          <w:sz w:val="23"/>
          <w:szCs w:val="23"/>
        </w:rPr>
      </w:pPr>
      <w:r w:rsidRPr="000D3D8B">
        <w:rPr>
          <w:rFonts w:ascii="Cambria" w:hAnsi="Cambria"/>
          <w:b/>
          <w:bCs/>
          <w:sz w:val="23"/>
          <w:szCs w:val="23"/>
        </w:rPr>
        <w:t>Membership of Judicial Council</w:t>
      </w:r>
    </w:p>
    <w:p w:rsidR="006430DA" w:rsidRPr="000D3D8B" w:rsidRDefault="001E6045" w:rsidP="0030038F">
      <w:pPr>
        <w:ind w:right="-347"/>
        <w:jc w:val="both"/>
        <w:rPr>
          <w:rFonts w:ascii="Cambria" w:hAnsi="Cambria"/>
          <w:sz w:val="23"/>
          <w:szCs w:val="23"/>
        </w:rPr>
      </w:pPr>
      <w:r w:rsidRPr="000D3D8B">
        <w:rPr>
          <w:rFonts w:ascii="Cambria" w:hAnsi="Cambria"/>
          <w:sz w:val="23"/>
          <w:szCs w:val="23"/>
        </w:rPr>
        <w:t>As the Bill is currently drafted, m</w:t>
      </w:r>
      <w:r w:rsidR="006430DA" w:rsidRPr="000D3D8B">
        <w:rPr>
          <w:rFonts w:ascii="Cambria" w:hAnsi="Cambria"/>
          <w:sz w:val="23"/>
          <w:szCs w:val="23"/>
        </w:rPr>
        <w:t xml:space="preserve">embership of the </w:t>
      </w:r>
      <w:r w:rsidRPr="000D3D8B">
        <w:rPr>
          <w:rFonts w:ascii="Cambria" w:hAnsi="Cambria"/>
          <w:sz w:val="23"/>
          <w:szCs w:val="23"/>
        </w:rPr>
        <w:t>j</w:t>
      </w:r>
      <w:r w:rsidR="006430DA" w:rsidRPr="000D3D8B">
        <w:rPr>
          <w:rFonts w:ascii="Cambria" w:hAnsi="Cambria"/>
          <w:sz w:val="23"/>
          <w:szCs w:val="23"/>
        </w:rPr>
        <w:t xml:space="preserve">udicial </w:t>
      </w:r>
      <w:r w:rsidRPr="000D3D8B">
        <w:rPr>
          <w:rFonts w:ascii="Cambria" w:hAnsi="Cambria"/>
          <w:sz w:val="23"/>
          <w:szCs w:val="23"/>
        </w:rPr>
        <w:t>c</w:t>
      </w:r>
      <w:r w:rsidR="006430DA" w:rsidRPr="000D3D8B">
        <w:rPr>
          <w:rFonts w:ascii="Cambria" w:hAnsi="Cambria"/>
          <w:sz w:val="23"/>
          <w:szCs w:val="23"/>
        </w:rPr>
        <w:t>ouncil consists of the Chief Justice, the Chief Magistrate, a legal practitioner and a person nominated by the Minister.</w:t>
      </w:r>
      <w:r w:rsidR="00FF0D13" w:rsidRPr="000D3D8B">
        <w:rPr>
          <w:rFonts w:ascii="Cambria" w:hAnsi="Cambria"/>
          <w:sz w:val="23"/>
          <w:szCs w:val="23"/>
        </w:rPr>
        <w:t xml:space="preserve"> There is no requirement that </w:t>
      </w:r>
      <w:r w:rsidR="00DE2837" w:rsidRPr="000D3D8B">
        <w:rPr>
          <w:rFonts w:ascii="Cambria" w:hAnsi="Cambria"/>
          <w:sz w:val="23"/>
          <w:szCs w:val="23"/>
        </w:rPr>
        <w:t>the</w:t>
      </w:r>
      <w:r w:rsidR="00FF0D13" w:rsidRPr="000D3D8B">
        <w:rPr>
          <w:rFonts w:ascii="Cambria" w:hAnsi="Cambria"/>
          <w:sz w:val="23"/>
          <w:szCs w:val="23"/>
        </w:rPr>
        <w:t xml:space="preserve"> legal practitioner</w:t>
      </w:r>
      <w:r w:rsidR="00DE2837" w:rsidRPr="000D3D8B">
        <w:rPr>
          <w:rFonts w:ascii="Cambria" w:hAnsi="Cambria"/>
          <w:sz w:val="23"/>
          <w:szCs w:val="23"/>
        </w:rPr>
        <w:t xml:space="preserve"> have </w:t>
      </w:r>
      <w:r w:rsidR="007567D9" w:rsidRPr="000D3D8B">
        <w:rPr>
          <w:rFonts w:ascii="Cambria" w:hAnsi="Cambria"/>
          <w:sz w:val="23"/>
          <w:szCs w:val="23"/>
        </w:rPr>
        <w:t xml:space="preserve">practiced for </w:t>
      </w:r>
      <w:r w:rsidR="00DE2837" w:rsidRPr="000D3D8B">
        <w:rPr>
          <w:rFonts w:ascii="Cambria" w:hAnsi="Cambria"/>
          <w:sz w:val="23"/>
          <w:szCs w:val="23"/>
        </w:rPr>
        <w:t>a minimum number of year</w:t>
      </w:r>
      <w:r w:rsidR="007567D9" w:rsidRPr="000D3D8B">
        <w:rPr>
          <w:rFonts w:ascii="Cambria" w:hAnsi="Cambria"/>
          <w:sz w:val="23"/>
          <w:szCs w:val="23"/>
        </w:rPr>
        <w:t>s</w:t>
      </w:r>
      <w:r w:rsidR="008614B3" w:rsidRPr="000D3D8B">
        <w:rPr>
          <w:rFonts w:ascii="Cambria" w:hAnsi="Cambria"/>
          <w:sz w:val="23"/>
          <w:szCs w:val="23"/>
        </w:rPr>
        <w:t xml:space="preserve"> although it is required that the legal practitioner be jointly appointed by the Law Society and the Tasmanian Bar</w:t>
      </w:r>
      <w:r w:rsidR="00DE2837" w:rsidRPr="000D3D8B">
        <w:rPr>
          <w:rFonts w:ascii="Cambria" w:hAnsi="Cambria"/>
          <w:sz w:val="23"/>
          <w:szCs w:val="23"/>
        </w:rPr>
        <w:t>.</w:t>
      </w:r>
      <w:r w:rsidR="008614B3" w:rsidRPr="000D3D8B">
        <w:rPr>
          <w:rFonts w:ascii="Cambria" w:hAnsi="Cambria"/>
          <w:sz w:val="23"/>
          <w:szCs w:val="23"/>
        </w:rPr>
        <w:t xml:space="preserve"> </w:t>
      </w:r>
      <w:r w:rsidR="007567D9" w:rsidRPr="000D3D8B">
        <w:rPr>
          <w:rFonts w:ascii="Cambria" w:hAnsi="Cambria"/>
          <w:sz w:val="23"/>
          <w:szCs w:val="23"/>
        </w:rPr>
        <w:t xml:space="preserve">Other statutes in Tasmania provide for </w:t>
      </w:r>
      <w:r w:rsidR="002608DA" w:rsidRPr="000D3D8B">
        <w:rPr>
          <w:rFonts w:ascii="Cambria" w:hAnsi="Cambria"/>
          <w:sz w:val="23"/>
          <w:szCs w:val="23"/>
        </w:rPr>
        <w:t xml:space="preserve">legal </w:t>
      </w:r>
      <w:r w:rsidR="007567D9" w:rsidRPr="000D3D8B">
        <w:rPr>
          <w:rFonts w:ascii="Cambria" w:hAnsi="Cambria"/>
          <w:sz w:val="23"/>
          <w:szCs w:val="23"/>
        </w:rPr>
        <w:t xml:space="preserve">practitioners to have </w:t>
      </w:r>
      <w:r w:rsidR="002608DA" w:rsidRPr="000D3D8B">
        <w:rPr>
          <w:rFonts w:ascii="Cambria" w:hAnsi="Cambria"/>
          <w:sz w:val="23"/>
          <w:szCs w:val="23"/>
        </w:rPr>
        <w:t>between 5-7</w:t>
      </w:r>
      <w:r w:rsidR="007567D9" w:rsidRPr="000D3D8B">
        <w:rPr>
          <w:rFonts w:ascii="Cambria" w:hAnsi="Cambria"/>
          <w:sz w:val="23"/>
          <w:szCs w:val="23"/>
        </w:rPr>
        <w:t xml:space="preserve"> </w:t>
      </w:r>
      <w:r w:rsidR="007567D9" w:rsidRPr="000D3D8B">
        <w:rPr>
          <w:rFonts w:ascii="Cambria" w:hAnsi="Cambria"/>
          <w:sz w:val="23"/>
          <w:szCs w:val="23"/>
        </w:rPr>
        <w:lastRenderedPageBreak/>
        <w:t>years’ experience</w:t>
      </w:r>
      <w:r w:rsidR="002608DA" w:rsidRPr="000D3D8B">
        <w:rPr>
          <w:rFonts w:ascii="Cambria" w:hAnsi="Cambria"/>
          <w:sz w:val="23"/>
          <w:szCs w:val="23"/>
        </w:rPr>
        <w:t xml:space="preserve"> before appointment</w:t>
      </w:r>
      <w:r w:rsidR="004B504A" w:rsidRPr="000D3D8B">
        <w:rPr>
          <w:rFonts w:ascii="Cambria" w:hAnsi="Cambria"/>
          <w:sz w:val="23"/>
          <w:szCs w:val="23"/>
        </w:rPr>
        <w:t xml:space="preserve"> to Boards and other review bodies</w:t>
      </w:r>
      <w:r w:rsidR="008614B3" w:rsidRPr="000D3D8B">
        <w:rPr>
          <w:rStyle w:val="FootnoteReference"/>
          <w:rFonts w:ascii="Cambria" w:hAnsi="Cambria"/>
          <w:sz w:val="23"/>
          <w:szCs w:val="23"/>
        </w:rPr>
        <w:footnoteReference w:id="10"/>
      </w:r>
      <w:r w:rsidR="007567D9" w:rsidRPr="000D3D8B">
        <w:rPr>
          <w:rFonts w:ascii="Cambria" w:hAnsi="Cambria"/>
          <w:sz w:val="23"/>
          <w:szCs w:val="23"/>
        </w:rPr>
        <w:t xml:space="preserve"> and we believe </w:t>
      </w:r>
      <w:r w:rsidR="008614B3" w:rsidRPr="000D3D8B">
        <w:rPr>
          <w:rFonts w:ascii="Cambria" w:hAnsi="Cambria"/>
          <w:sz w:val="23"/>
          <w:szCs w:val="23"/>
        </w:rPr>
        <w:t xml:space="preserve">for consistency a minimum </w:t>
      </w:r>
      <w:r w:rsidR="002608DA" w:rsidRPr="000D3D8B">
        <w:rPr>
          <w:rFonts w:ascii="Cambria" w:hAnsi="Cambria"/>
          <w:sz w:val="23"/>
          <w:szCs w:val="23"/>
        </w:rPr>
        <w:t>5-</w:t>
      </w:r>
      <w:r w:rsidR="008614B3" w:rsidRPr="000D3D8B">
        <w:rPr>
          <w:rFonts w:ascii="Cambria" w:hAnsi="Cambria"/>
          <w:sz w:val="23"/>
          <w:szCs w:val="23"/>
        </w:rPr>
        <w:t>7</w:t>
      </w:r>
      <w:r w:rsidRPr="000D3D8B">
        <w:rPr>
          <w:rFonts w:ascii="Cambria" w:hAnsi="Cambria"/>
          <w:sz w:val="23"/>
          <w:szCs w:val="23"/>
        </w:rPr>
        <w:t xml:space="preserve"> years’ experience </w:t>
      </w:r>
      <w:r w:rsidR="008614B3" w:rsidRPr="000D3D8B">
        <w:rPr>
          <w:rFonts w:ascii="Cambria" w:hAnsi="Cambria"/>
          <w:sz w:val="23"/>
          <w:szCs w:val="23"/>
        </w:rPr>
        <w:t>should be</w:t>
      </w:r>
      <w:r w:rsidRPr="000D3D8B">
        <w:rPr>
          <w:rFonts w:ascii="Cambria" w:hAnsi="Cambria"/>
          <w:sz w:val="23"/>
          <w:szCs w:val="23"/>
        </w:rPr>
        <w:t xml:space="preserve"> required for </w:t>
      </w:r>
      <w:r w:rsidR="008E57D7" w:rsidRPr="000D3D8B">
        <w:rPr>
          <w:rFonts w:ascii="Cambria" w:hAnsi="Cambria"/>
          <w:sz w:val="23"/>
          <w:szCs w:val="23"/>
        </w:rPr>
        <w:t xml:space="preserve">a legal practitioner’s </w:t>
      </w:r>
      <w:r w:rsidR="008614B3" w:rsidRPr="000D3D8B">
        <w:rPr>
          <w:rFonts w:ascii="Cambria" w:hAnsi="Cambria"/>
          <w:sz w:val="23"/>
          <w:szCs w:val="23"/>
        </w:rPr>
        <w:t xml:space="preserve">membership of the judicial council. </w:t>
      </w:r>
    </w:p>
    <w:p w:rsidR="0083769B" w:rsidRPr="000D3D8B" w:rsidRDefault="0083769B" w:rsidP="007567D9">
      <w:pPr>
        <w:ind w:right="-347"/>
        <w:jc w:val="both"/>
        <w:rPr>
          <w:rFonts w:ascii="Cambria" w:hAnsi="Cambria"/>
          <w:sz w:val="23"/>
          <w:szCs w:val="23"/>
        </w:rPr>
      </w:pPr>
    </w:p>
    <w:p w:rsidR="002F1BE7" w:rsidRPr="000D3D8B" w:rsidRDefault="004B504A" w:rsidP="007567D9">
      <w:pPr>
        <w:ind w:right="-347"/>
        <w:jc w:val="both"/>
        <w:rPr>
          <w:rFonts w:ascii="Cambria" w:hAnsi="Cambria"/>
          <w:sz w:val="23"/>
          <w:szCs w:val="23"/>
        </w:rPr>
      </w:pPr>
      <w:r w:rsidRPr="000D3D8B">
        <w:rPr>
          <w:rFonts w:ascii="Cambria" w:hAnsi="Cambria"/>
          <w:sz w:val="23"/>
          <w:szCs w:val="23"/>
        </w:rPr>
        <w:t>We also note that</w:t>
      </w:r>
      <w:r w:rsidR="002608DA" w:rsidRPr="000D3D8B">
        <w:rPr>
          <w:rFonts w:ascii="Cambria" w:hAnsi="Cambria"/>
          <w:sz w:val="23"/>
          <w:szCs w:val="23"/>
        </w:rPr>
        <w:t xml:space="preserve"> t</w:t>
      </w:r>
      <w:r w:rsidR="001E6045" w:rsidRPr="000D3D8B">
        <w:rPr>
          <w:rFonts w:ascii="Cambria" w:hAnsi="Cambria"/>
          <w:sz w:val="23"/>
          <w:szCs w:val="23"/>
        </w:rPr>
        <w:t>he person nominated by the Minister</w:t>
      </w:r>
      <w:r w:rsidR="007567D9" w:rsidRPr="000D3D8B">
        <w:rPr>
          <w:rFonts w:ascii="Cambria" w:hAnsi="Cambria"/>
          <w:sz w:val="23"/>
          <w:szCs w:val="23"/>
        </w:rPr>
        <w:t xml:space="preserve"> must have “in the Minister’s opinion, qualifications and experience to assist the council in the performance of its functions, or the exercise of its powers”.</w:t>
      </w:r>
      <w:r w:rsidR="002608DA" w:rsidRPr="000D3D8B">
        <w:rPr>
          <w:rStyle w:val="FootnoteReference"/>
          <w:rFonts w:ascii="Cambria" w:hAnsi="Cambria"/>
          <w:sz w:val="23"/>
          <w:szCs w:val="23"/>
        </w:rPr>
        <w:footnoteReference w:id="11"/>
      </w:r>
      <w:r w:rsidR="007567D9" w:rsidRPr="000D3D8B">
        <w:rPr>
          <w:rFonts w:ascii="Cambria" w:hAnsi="Cambria"/>
          <w:sz w:val="23"/>
          <w:szCs w:val="23"/>
        </w:rPr>
        <w:t xml:space="preserve"> We believe that a list of appropriate qualifications would provide both guidance to the Minister and confidence to the broader community in the independence of the council. A useful model that could be considered is Tasmania’s Parole Board </w:t>
      </w:r>
      <w:r w:rsidR="009A63C2" w:rsidRPr="000D3D8B">
        <w:rPr>
          <w:rFonts w:ascii="Cambria" w:hAnsi="Cambria"/>
          <w:sz w:val="23"/>
          <w:szCs w:val="23"/>
        </w:rPr>
        <w:t xml:space="preserve">where membership </w:t>
      </w:r>
      <w:r w:rsidRPr="000D3D8B">
        <w:rPr>
          <w:rFonts w:ascii="Cambria" w:hAnsi="Cambria"/>
          <w:sz w:val="23"/>
          <w:szCs w:val="23"/>
        </w:rPr>
        <w:t>includes</w:t>
      </w:r>
      <w:r w:rsidR="009A63C2" w:rsidRPr="000D3D8B">
        <w:rPr>
          <w:rFonts w:ascii="Cambria" w:hAnsi="Cambria"/>
          <w:sz w:val="23"/>
          <w:szCs w:val="23"/>
        </w:rPr>
        <w:t xml:space="preserve"> a person “experienced in matters associated with sociology, criminology, penology or medicine”.</w:t>
      </w:r>
      <w:r w:rsidR="009A63C2" w:rsidRPr="000D3D8B">
        <w:rPr>
          <w:rStyle w:val="FootnoteReference"/>
          <w:rFonts w:ascii="Cambria" w:hAnsi="Cambria"/>
          <w:sz w:val="23"/>
          <w:szCs w:val="23"/>
        </w:rPr>
        <w:footnoteReference w:id="12"/>
      </w:r>
      <w:r w:rsidR="009A63C2" w:rsidRPr="000D3D8B">
        <w:rPr>
          <w:rFonts w:ascii="Cambria" w:hAnsi="Cambria"/>
          <w:sz w:val="23"/>
          <w:szCs w:val="23"/>
        </w:rPr>
        <w:t xml:space="preserve"> </w:t>
      </w:r>
    </w:p>
    <w:p w:rsidR="000E078A" w:rsidRPr="000D3D8B" w:rsidRDefault="000E078A" w:rsidP="007567D9">
      <w:pPr>
        <w:ind w:right="-347"/>
        <w:jc w:val="both"/>
        <w:rPr>
          <w:rFonts w:ascii="Cambria" w:hAnsi="Cambria"/>
          <w:sz w:val="23"/>
          <w:szCs w:val="23"/>
        </w:rPr>
      </w:pPr>
    </w:p>
    <w:p w:rsidR="000E078A" w:rsidRPr="000D3D8B" w:rsidRDefault="000E078A" w:rsidP="007567D9">
      <w:pPr>
        <w:ind w:right="-347"/>
        <w:jc w:val="both"/>
        <w:rPr>
          <w:rFonts w:ascii="Cambria" w:hAnsi="Cambria"/>
          <w:b/>
          <w:bCs/>
          <w:sz w:val="23"/>
          <w:szCs w:val="23"/>
        </w:rPr>
      </w:pPr>
      <w:r w:rsidRPr="000D3D8B">
        <w:rPr>
          <w:rFonts w:ascii="Cambria" w:hAnsi="Cambria"/>
          <w:b/>
          <w:bCs/>
          <w:sz w:val="23"/>
          <w:szCs w:val="23"/>
        </w:rPr>
        <w:t>Annual Report</w:t>
      </w:r>
    </w:p>
    <w:p w:rsidR="002D29FF" w:rsidRPr="000D3D8B" w:rsidRDefault="004D444E" w:rsidP="0030038F">
      <w:pPr>
        <w:ind w:right="-347"/>
        <w:jc w:val="both"/>
        <w:rPr>
          <w:rFonts w:ascii="Cambria" w:hAnsi="Cambria"/>
          <w:sz w:val="23"/>
          <w:szCs w:val="23"/>
        </w:rPr>
      </w:pPr>
      <w:r w:rsidRPr="000D3D8B">
        <w:rPr>
          <w:rFonts w:ascii="Cambria" w:hAnsi="Cambria"/>
          <w:sz w:val="23"/>
          <w:szCs w:val="23"/>
        </w:rPr>
        <w:t>The overarching purpose of an annual report is to inform the public about an organisation’s achievements, performance and financial position.</w:t>
      </w:r>
      <w:r w:rsidR="002D29FF" w:rsidRPr="000D3D8B">
        <w:rPr>
          <w:rFonts w:ascii="Cambria" w:hAnsi="Cambria"/>
          <w:sz w:val="23"/>
          <w:szCs w:val="23"/>
        </w:rPr>
        <w:t xml:space="preserve"> Expressed in another way</w:t>
      </w:r>
      <w:r w:rsidRPr="000D3D8B">
        <w:rPr>
          <w:rFonts w:ascii="Cambria" w:hAnsi="Cambria"/>
          <w:sz w:val="23"/>
          <w:szCs w:val="23"/>
        </w:rPr>
        <w:t xml:space="preserve">, an annual report is an important transparency mechanism. Given that </w:t>
      </w:r>
      <w:r w:rsidR="00105D05" w:rsidRPr="000D3D8B">
        <w:rPr>
          <w:rFonts w:ascii="Cambria" w:hAnsi="Cambria"/>
          <w:sz w:val="23"/>
          <w:szCs w:val="23"/>
        </w:rPr>
        <w:t xml:space="preserve">the focus of </w:t>
      </w:r>
      <w:r w:rsidRPr="000D3D8B">
        <w:rPr>
          <w:rFonts w:ascii="Cambria" w:hAnsi="Cambria"/>
          <w:sz w:val="23"/>
          <w:szCs w:val="23"/>
        </w:rPr>
        <w:t xml:space="preserve">Tasmania’s judicial </w:t>
      </w:r>
      <w:r w:rsidR="00105D05" w:rsidRPr="000D3D8B">
        <w:rPr>
          <w:rFonts w:ascii="Cambria" w:hAnsi="Cambria"/>
          <w:sz w:val="23"/>
          <w:szCs w:val="23"/>
        </w:rPr>
        <w:t>council</w:t>
      </w:r>
      <w:r w:rsidRPr="000D3D8B">
        <w:rPr>
          <w:rFonts w:ascii="Cambria" w:hAnsi="Cambria"/>
          <w:sz w:val="23"/>
          <w:szCs w:val="23"/>
        </w:rPr>
        <w:t xml:space="preserve"> </w:t>
      </w:r>
      <w:r w:rsidR="00105D05" w:rsidRPr="000D3D8B">
        <w:rPr>
          <w:rFonts w:ascii="Cambria" w:hAnsi="Cambria"/>
          <w:sz w:val="23"/>
          <w:szCs w:val="23"/>
        </w:rPr>
        <w:t xml:space="preserve">will be on </w:t>
      </w:r>
      <w:r w:rsidRPr="000D3D8B">
        <w:rPr>
          <w:rFonts w:ascii="Cambria" w:hAnsi="Cambria"/>
          <w:sz w:val="23"/>
          <w:szCs w:val="23"/>
        </w:rPr>
        <w:t>investigat</w:t>
      </w:r>
      <w:r w:rsidR="00105D05" w:rsidRPr="000D3D8B">
        <w:rPr>
          <w:rFonts w:ascii="Cambria" w:hAnsi="Cambria"/>
          <w:sz w:val="23"/>
          <w:szCs w:val="23"/>
        </w:rPr>
        <w:t>ing</w:t>
      </w:r>
      <w:r w:rsidRPr="000D3D8B">
        <w:rPr>
          <w:rFonts w:ascii="Cambria" w:hAnsi="Cambria"/>
          <w:sz w:val="23"/>
          <w:szCs w:val="23"/>
        </w:rPr>
        <w:t xml:space="preserve"> complaints against judicial officers it is </w:t>
      </w:r>
      <w:r w:rsidR="002D29FF" w:rsidRPr="000D3D8B">
        <w:rPr>
          <w:rFonts w:ascii="Cambria" w:hAnsi="Cambria"/>
          <w:sz w:val="23"/>
          <w:szCs w:val="23"/>
        </w:rPr>
        <w:t>crucial</w:t>
      </w:r>
      <w:r w:rsidRPr="000D3D8B">
        <w:rPr>
          <w:rFonts w:ascii="Cambria" w:hAnsi="Cambria"/>
          <w:sz w:val="23"/>
          <w:szCs w:val="23"/>
        </w:rPr>
        <w:t xml:space="preserve"> that the public has confidence that complaints are being appropriately investigated and proactive steps are being taken to ensure that complaints </w:t>
      </w:r>
      <w:r w:rsidR="002D29FF" w:rsidRPr="000D3D8B">
        <w:rPr>
          <w:rFonts w:ascii="Cambria" w:hAnsi="Cambria"/>
          <w:sz w:val="23"/>
          <w:szCs w:val="23"/>
        </w:rPr>
        <w:t xml:space="preserve">against judicial officers </w:t>
      </w:r>
      <w:r w:rsidRPr="000D3D8B">
        <w:rPr>
          <w:rFonts w:ascii="Cambria" w:hAnsi="Cambria"/>
          <w:sz w:val="23"/>
          <w:szCs w:val="23"/>
        </w:rPr>
        <w:t xml:space="preserve">are minimised. </w:t>
      </w:r>
    </w:p>
    <w:p w:rsidR="002D29FF" w:rsidRPr="000D3D8B" w:rsidRDefault="002D29FF" w:rsidP="0030038F">
      <w:pPr>
        <w:ind w:right="-347"/>
        <w:jc w:val="both"/>
        <w:rPr>
          <w:rFonts w:ascii="Cambria" w:hAnsi="Cambria"/>
          <w:sz w:val="23"/>
          <w:szCs w:val="23"/>
        </w:rPr>
      </w:pPr>
    </w:p>
    <w:p w:rsidR="00EE7836" w:rsidRPr="000D3D8B" w:rsidRDefault="004D444E" w:rsidP="0030038F">
      <w:pPr>
        <w:ind w:right="-347"/>
        <w:jc w:val="both"/>
        <w:rPr>
          <w:rFonts w:ascii="Cambria" w:hAnsi="Cambria"/>
          <w:sz w:val="23"/>
          <w:szCs w:val="23"/>
        </w:rPr>
      </w:pPr>
      <w:r w:rsidRPr="000D3D8B">
        <w:rPr>
          <w:rFonts w:ascii="Cambria" w:hAnsi="Cambria"/>
          <w:sz w:val="23"/>
          <w:szCs w:val="23"/>
        </w:rPr>
        <w:t xml:space="preserve">We strongly believe that clause 14 </w:t>
      </w:r>
      <w:r w:rsidR="002D29FF" w:rsidRPr="000D3D8B">
        <w:rPr>
          <w:rFonts w:ascii="Cambria" w:hAnsi="Cambria"/>
          <w:sz w:val="23"/>
          <w:szCs w:val="23"/>
        </w:rPr>
        <w:t xml:space="preserve">of the Bill </w:t>
      </w:r>
      <w:r w:rsidRPr="000D3D8B">
        <w:rPr>
          <w:rFonts w:ascii="Cambria" w:hAnsi="Cambria"/>
          <w:sz w:val="23"/>
          <w:szCs w:val="23"/>
        </w:rPr>
        <w:t xml:space="preserve">should include </w:t>
      </w:r>
      <w:r w:rsidR="002D29FF" w:rsidRPr="000D3D8B">
        <w:rPr>
          <w:rFonts w:ascii="Cambria" w:hAnsi="Cambria"/>
          <w:sz w:val="23"/>
          <w:szCs w:val="23"/>
        </w:rPr>
        <w:t xml:space="preserve">both </w:t>
      </w:r>
      <w:r w:rsidRPr="000D3D8B">
        <w:rPr>
          <w:rFonts w:ascii="Cambria" w:hAnsi="Cambria"/>
          <w:sz w:val="23"/>
          <w:szCs w:val="23"/>
        </w:rPr>
        <w:t xml:space="preserve">the number of complaints received, dismissed and substantiated </w:t>
      </w:r>
      <w:r w:rsidR="002D29FF" w:rsidRPr="000D3D8B">
        <w:rPr>
          <w:rFonts w:ascii="Cambria" w:hAnsi="Cambria"/>
          <w:sz w:val="23"/>
          <w:szCs w:val="23"/>
        </w:rPr>
        <w:t>and</w:t>
      </w:r>
      <w:r w:rsidRPr="000D3D8B">
        <w:rPr>
          <w:rFonts w:ascii="Cambria" w:hAnsi="Cambria"/>
          <w:sz w:val="23"/>
          <w:szCs w:val="23"/>
        </w:rPr>
        <w:t xml:space="preserve"> information of the subject-matter of the complaint. A</w:t>
      </w:r>
      <w:r w:rsidR="002D29FF" w:rsidRPr="000D3D8B">
        <w:rPr>
          <w:rFonts w:ascii="Cambria" w:hAnsi="Cambria"/>
          <w:sz w:val="23"/>
          <w:szCs w:val="23"/>
        </w:rPr>
        <w:t xml:space="preserve"> model that could be considered </w:t>
      </w:r>
      <w:r w:rsidRPr="000D3D8B">
        <w:rPr>
          <w:rFonts w:ascii="Cambria" w:hAnsi="Cambria"/>
          <w:sz w:val="23"/>
          <w:szCs w:val="23"/>
        </w:rPr>
        <w:t xml:space="preserve">is the Legal Profession Board of Tasmania </w:t>
      </w:r>
      <w:r w:rsidR="002D29FF" w:rsidRPr="000D3D8B">
        <w:rPr>
          <w:rFonts w:ascii="Cambria" w:hAnsi="Cambria"/>
          <w:sz w:val="23"/>
          <w:szCs w:val="23"/>
        </w:rPr>
        <w:t>which is required to provide an annual report containing “the number and nature of complaints received and matters subject to investigation or hearing”.</w:t>
      </w:r>
      <w:r w:rsidR="002D29FF" w:rsidRPr="000D3D8B">
        <w:rPr>
          <w:rStyle w:val="FootnoteReference"/>
          <w:rFonts w:ascii="Cambria" w:hAnsi="Cambria"/>
          <w:sz w:val="23"/>
          <w:szCs w:val="23"/>
        </w:rPr>
        <w:footnoteReference w:id="13"/>
      </w:r>
      <w:r w:rsidR="002D29FF" w:rsidRPr="000D3D8B">
        <w:rPr>
          <w:rFonts w:ascii="Cambria" w:hAnsi="Cambria"/>
          <w:sz w:val="23"/>
          <w:szCs w:val="23"/>
        </w:rPr>
        <w:t xml:space="preserve"> Subject matter examples listed in </w:t>
      </w:r>
      <w:r w:rsidR="00796A98" w:rsidRPr="000D3D8B">
        <w:rPr>
          <w:rFonts w:ascii="Cambria" w:hAnsi="Cambria"/>
          <w:sz w:val="23"/>
          <w:szCs w:val="23"/>
        </w:rPr>
        <w:t xml:space="preserve">the Legal Profession Board of Tasmania’s </w:t>
      </w:r>
      <w:r w:rsidR="002D29FF" w:rsidRPr="000D3D8B">
        <w:rPr>
          <w:rFonts w:ascii="Cambria" w:hAnsi="Cambria"/>
          <w:sz w:val="23"/>
          <w:szCs w:val="23"/>
        </w:rPr>
        <w:t>most recent report include allegations of abusive, rude and threatening behaviour, delay and overcharging.</w:t>
      </w:r>
      <w:r w:rsidR="002D29FF" w:rsidRPr="000D3D8B">
        <w:rPr>
          <w:rStyle w:val="FootnoteReference"/>
          <w:rFonts w:ascii="Cambria" w:hAnsi="Cambria"/>
          <w:sz w:val="23"/>
          <w:szCs w:val="23"/>
        </w:rPr>
        <w:footnoteReference w:id="14"/>
      </w:r>
      <w:r w:rsidR="002D29FF" w:rsidRPr="000D3D8B">
        <w:rPr>
          <w:rFonts w:ascii="Cambria" w:hAnsi="Cambria"/>
          <w:sz w:val="23"/>
          <w:szCs w:val="23"/>
        </w:rPr>
        <w:t xml:space="preserve"> </w:t>
      </w:r>
    </w:p>
    <w:p w:rsidR="00796A98" w:rsidRPr="000D3D8B" w:rsidRDefault="00796A98" w:rsidP="0030038F">
      <w:pPr>
        <w:ind w:right="-347"/>
        <w:jc w:val="both"/>
        <w:rPr>
          <w:rFonts w:ascii="Cambria" w:hAnsi="Cambria"/>
          <w:sz w:val="23"/>
          <w:szCs w:val="23"/>
        </w:rPr>
      </w:pPr>
    </w:p>
    <w:p w:rsidR="00796A98" w:rsidRPr="000D3D8B" w:rsidRDefault="00796A98" w:rsidP="0030038F">
      <w:pPr>
        <w:ind w:right="-347"/>
        <w:jc w:val="both"/>
        <w:rPr>
          <w:rFonts w:ascii="Cambria" w:hAnsi="Cambria"/>
          <w:sz w:val="23"/>
          <w:szCs w:val="23"/>
        </w:rPr>
      </w:pPr>
      <w:r w:rsidRPr="000D3D8B">
        <w:rPr>
          <w:rFonts w:ascii="Cambria" w:hAnsi="Cambria"/>
          <w:sz w:val="23"/>
          <w:szCs w:val="23"/>
        </w:rPr>
        <w:t>South Australia’s Judicial Conduct Commissioner is required to provide “the number and general nature of any complaints” received, dismissed and substantiated</w:t>
      </w:r>
      <w:r w:rsidRPr="000D3D8B">
        <w:rPr>
          <w:rStyle w:val="FootnoteReference"/>
          <w:rFonts w:ascii="Cambria" w:hAnsi="Cambria"/>
          <w:sz w:val="23"/>
          <w:szCs w:val="23"/>
        </w:rPr>
        <w:footnoteReference w:id="15"/>
      </w:r>
      <w:r w:rsidRPr="000D3D8B">
        <w:rPr>
          <w:rFonts w:ascii="Cambria" w:hAnsi="Cambria"/>
          <w:sz w:val="23"/>
          <w:szCs w:val="23"/>
        </w:rPr>
        <w:t xml:space="preserve"> and this should also be explicitly set out in the Bill.  </w:t>
      </w:r>
    </w:p>
    <w:p w:rsidR="000D3D8B" w:rsidRDefault="000D3D8B" w:rsidP="00105D05">
      <w:pPr>
        <w:shd w:val="clear" w:color="auto" w:fill="FFFFFF"/>
        <w:ind w:right="-347"/>
        <w:jc w:val="both"/>
        <w:rPr>
          <w:rFonts w:ascii="Cambria" w:hAnsi="Cambria"/>
          <w:bCs/>
          <w:color w:val="000000" w:themeColor="text1"/>
          <w:sz w:val="23"/>
          <w:szCs w:val="23"/>
        </w:rPr>
      </w:pPr>
    </w:p>
    <w:p w:rsidR="000D3D8B" w:rsidRDefault="000D3D8B" w:rsidP="00105D05">
      <w:pPr>
        <w:shd w:val="clear" w:color="auto" w:fill="FFFFFF"/>
        <w:ind w:right="-347"/>
        <w:jc w:val="both"/>
        <w:rPr>
          <w:rFonts w:ascii="Cambria" w:hAnsi="Cambria"/>
          <w:bCs/>
          <w:color w:val="000000" w:themeColor="text1"/>
          <w:sz w:val="23"/>
          <w:szCs w:val="23"/>
        </w:rPr>
      </w:pPr>
    </w:p>
    <w:p w:rsidR="00105D05" w:rsidRPr="000D3D8B" w:rsidRDefault="00105D05" w:rsidP="00105D05">
      <w:pPr>
        <w:shd w:val="clear" w:color="auto" w:fill="FFFFFF"/>
        <w:ind w:right="-347"/>
        <w:jc w:val="both"/>
        <w:rPr>
          <w:rFonts w:ascii="Cambria" w:hAnsi="Cambria"/>
          <w:bCs/>
          <w:color w:val="000000" w:themeColor="text1"/>
          <w:sz w:val="23"/>
          <w:szCs w:val="23"/>
        </w:rPr>
      </w:pPr>
      <w:r w:rsidRPr="000D3D8B">
        <w:rPr>
          <w:rFonts w:ascii="Cambria" w:hAnsi="Cambria"/>
          <w:bCs/>
          <w:color w:val="000000" w:themeColor="text1"/>
          <w:sz w:val="23"/>
          <w:szCs w:val="23"/>
        </w:rPr>
        <w:t>Yours faithfully,</w:t>
      </w:r>
    </w:p>
    <w:p w:rsidR="00105D05" w:rsidRPr="000D3D8B" w:rsidRDefault="00105D05" w:rsidP="00105D05">
      <w:pPr>
        <w:shd w:val="clear" w:color="auto" w:fill="FFFFFF"/>
        <w:ind w:right="-347"/>
        <w:jc w:val="both"/>
        <w:rPr>
          <w:rFonts w:ascii="Cambria" w:hAnsi="Cambria"/>
          <w:bCs/>
          <w:color w:val="000000" w:themeColor="text1"/>
          <w:sz w:val="23"/>
          <w:szCs w:val="23"/>
        </w:rPr>
      </w:pPr>
    </w:p>
    <w:p w:rsidR="00105D05" w:rsidRPr="000D3D8B" w:rsidRDefault="00105D05" w:rsidP="00105D05">
      <w:pPr>
        <w:shd w:val="clear" w:color="auto" w:fill="FFFFFF"/>
        <w:ind w:right="-347"/>
        <w:jc w:val="both"/>
        <w:rPr>
          <w:rFonts w:ascii="Cambria" w:hAnsi="Cambria"/>
          <w:bCs/>
          <w:color w:val="000000" w:themeColor="text1"/>
          <w:sz w:val="23"/>
          <w:szCs w:val="23"/>
        </w:rPr>
      </w:pPr>
    </w:p>
    <w:p w:rsidR="000D3D8B" w:rsidRDefault="000D3D8B" w:rsidP="00105D05">
      <w:pPr>
        <w:shd w:val="clear" w:color="auto" w:fill="FFFFFF"/>
        <w:ind w:right="-347"/>
        <w:jc w:val="both"/>
        <w:rPr>
          <w:rFonts w:ascii="Cambria" w:hAnsi="Cambria"/>
          <w:bCs/>
          <w:color w:val="000000" w:themeColor="text1"/>
          <w:sz w:val="23"/>
          <w:szCs w:val="23"/>
        </w:rPr>
      </w:pPr>
    </w:p>
    <w:p w:rsidR="00105D05" w:rsidRPr="000D3D8B" w:rsidRDefault="00105D05" w:rsidP="00105D05">
      <w:pPr>
        <w:shd w:val="clear" w:color="auto" w:fill="FFFFFF"/>
        <w:ind w:right="-347"/>
        <w:jc w:val="both"/>
        <w:rPr>
          <w:rFonts w:ascii="Cambria" w:hAnsi="Cambria"/>
          <w:bCs/>
          <w:color w:val="000000" w:themeColor="text1"/>
          <w:sz w:val="23"/>
          <w:szCs w:val="23"/>
        </w:rPr>
      </w:pPr>
      <w:r w:rsidRPr="000D3D8B">
        <w:rPr>
          <w:rFonts w:ascii="Cambria" w:hAnsi="Cambria"/>
          <w:bCs/>
          <w:color w:val="000000" w:themeColor="text1"/>
          <w:sz w:val="23"/>
          <w:szCs w:val="23"/>
        </w:rPr>
        <w:t xml:space="preserve">Benedict </w:t>
      </w:r>
      <w:proofErr w:type="spellStart"/>
      <w:r w:rsidRPr="000D3D8B">
        <w:rPr>
          <w:rFonts w:ascii="Cambria" w:hAnsi="Cambria"/>
          <w:bCs/>
          <w:color w:val="000000" w:themeColor="text1"/>
          <w:sz w:val="23"/>
          <w:szCs w:val="23"/>
        </w:rPr>
        <w:t>Bartl</w:t>
      </w:r>
      <w:proofErr w:type="spellEnd"/>
    </w:p>
    <w:p w:rsidR="00105D05" w:rsidRPr="000D3D8B" w:rsidRDefault="00105D05" w:rsidP="00105D05">
      <w:pPr>
        <w:shd w:val="clear" w:color="auto" w:fill="FFFFFF"/>
        <w:ind w:right="-347"/>
        <w:jc w:val="both"/>
        <w:rPr>
          <w:rFonts w:ascii="Cambria" w:hAnsi="Cambria"/>
          <w:bCs/>
          <w:color w:val="000000" w:themeColor="text1"/>
          <w:sz w:val="23"/>
          <w:szCs w:val="23"/>
        </w:rPr>
      </w:pPr>
      <w:r w:rsidRPr="000D3D8B">
        <w:rPr>
          <w:rFonts w:ascii="Cambria" w:hAnsi="Cambria"/>
          <w:bCs/>
          <w:color w:val="000000" w:themeColor="text1"/>
          <w:sz w:val="23"/>
          <w:szCs w:val="23"/>
        </w:rPr>
        <w:t>Policy Officer</w:t>
      </w:r>
    </w:p>
    <w:p w:rsidR="000E2F1E" w:rsidRPr="000D3D8B" w:rsidRDefault="00105D05" w:rsidP="002D7AB4">
      <w:pPr>
        <w:pBdr>
          <w:bottom w:val="single" w:sz="6" w:space="1" w:color="auto"/>
        </w:pBdr>
        <w:shd w:val="clear" w:color="auto" w:fill="FFFFFF"/>
        <w:ind w:right="-347"/>
        <w:jc w:val="both"/>
        <w:rPr>
          <w:rFonts w:ascii="Cambria" w:hAnsi="Cambria"/>
          <w:b/>
          <w:bCs/>
          <w:color w:val="000000" w:themeColor="text1"/>
          <w:sz w:val="23"/>
          <w:szCs w:val="23"/>
        </w:rPr>
      </w:pPr>
      <w:r w:rsidRPr="000D3D8B">
        <w:rPr>
          <w:rFonts w:ascii="Cambria" w:hAnsi="Cambria"/>
          <w:b/>
          <w:bCs/>
          <w:color w:val="000000" w:themeColor="text1"/>
          <w:sz w:val="23"/>
          <w:szCs w:val="23"/>
        </w:rPr>
        <w:t>Community Legal Centres Tasmania</w:t>
      </w:r>
    </w:p>
    <w:sectPr w:rsidR="000E2F1E" w:rsidRPr="000D3D8B" w:rsidSect="00FE7D54">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587" w:rsidRDefault="00624587" w:rsidP="0030038F">
      <w:r>
        <w:separator/>
      </w:r>
    </w:p>
  </w:endnote>
  <w:endnote w:type="continuationSeparator" w:id="0">
    <w:p w:rsidR="00624587" w:rsidRDefault="00624587" w:rsidP="0030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534531"/>
      <w:docPartObj>
        <w:docPartGallery w:val="Page Numbers (Bottom of Page)"/>
        <w:docPartUnique/>
      </w:docPartObj>
    </w:sdtPr>
    <w:sdtContent>
      <w:p w:rsidR="000E2F1E" w:rsidRDefault="00000000" w:rsidP="00262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E2F1E" w:rsidRDefault="000E2F1E" w:rsidP="00956E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851165"/>
      <w:docPartObj>
        <w:docPartGallery w:val="Page Numbers (Bottom of Page)"/>
        <w:docPartUnique/>
      </w:docPartObj>
    </w:sdtPr>
    <w:sdtContent>
      <w:p w:rsidR="000E2F1E" w:rsidRDefault="00000000" w:rsidP="00262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E2F1E" w:rsidRDefault="000E2F1E" w:rsidP="00956E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587" w:rsidRDefault="00624587" w:rsidP="0030038F">
      <w:r>
        <w:separator/>
      </w:r>
    </w:p>
  </w:footnote>
  <w:footnote w:type="continuationSeparator" w:id="0">
    <w:p w:rsidR="00624587" w:rsidRDefault="00624587" w:rsidP="0030038F">
      <w:r>
        <w:continuationSeparator/>
      </w:r>
    </w:p>
  </w:footnote>
  <w:footnote w:id="1">
    <w:p w:rsidR="002D7AB4" w:rsidRPr="002D7AB4" w:rsidRDefault="002D7AB4">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CLC Tas would like to acknowledge those persons and organisations who gave freely of their time in assisting with our submission. </w:t>
      </w:r>
    </w:p>
  </w:footnote>
  <w:footnote w:id="2">
    <w:p w:rsidR="00646CC7" w:rsidRPr="002D7AB4" w:rsidRDefault="00646CC7" w:rsidP="00646CC7">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Gabrielle Appleby and Suzanne Le Mire, Judicial Conduct: Crafting a System that Enhances Institutional Integrity (2014) 38(1) </w:t>
      </w:r>
      <w:r w:rsidRPr="002D7AB4">
        <w:rPr>
          <w:rFonts w:ascii="Cambria" w:hAnsi="Cambria"/>
          <w:i/>
          <w:iCs/>
          <w:sz w:val="20"/>
          <w:szCs w:val="20"/>
        </w:rPr>
        <w:t>Melbourne University Law Review</w:t>
      </w:r>
      <w:r w:rsidRPr="002D7AB4">
        <w:rPr>
          <w:rFonts w:ascii="Cambria" w:hAnsi="Cambria"/>
          <w:sz w:val="20"/>
          <w:szCs w:val="20"/>
        </w:rPr>
        <w:t xml:space="preserve"> 1 at 3.</w:t>
      </w:r>
    </w:p>
  </w:footnote>
  <w:footnote w:id="3">
    <w:p w:rsidR="003245D5" w:rsidRPr="002D7AB4" w:rsidRDefault="003245D5">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Section</w:t>
      </w:r>
      <w:r w:rsidR="00FE30ED" w:rsidRPr="002D7AB4">
        <w:rPr>
          <w:rFonts w:ascii="Cambria" w:hAnsi="Cambria"/>
          <w:sz w:val="20"/>
          <w:szCs w:val="20"/>
        </w:rPr>
        <w:t>s</w:t>
      </w:r>
      <w:r w:rsidRPr="002D7AB4">
        <w:rPr>
          <w:rFonts w:ascii="Cambria" w:hAnsi="Cambria"/>
          <w:sz w:val="20"/>
          <w:szCs w:val="20"/>
        </w:rPr>
        <w:t xml:space="preserve"> </w:t>
      </w:r>
      <w:r w:rsidR="00FE30ED" w:rsidRPr="002D7AB4">
        <w:rPr>
          <w:rFonts w:ascii="Cambria" w:hAnsi="Cambria"/>
          <w:sz w:val="20"/>
          <w:szCs w:val="20"/>
        </w:rPr>
        <w:t xml:space="preserve">46(1)(c) and 69(1)(b) of the </w:t>
      </w:r>
      <w:r w:rsidR="00FE30ED" w:rsidRPr="002D7AB4">
        <w:rPr>
          <w:rFonts w:ascii="Cambria" w:hAnsi="Cambria"/>
          <w:i/>
          <w:iCs/>
          <w:sz w:val="20"/>
          <w:szCs w:val="20"/>
        </w:rPr>
        <w:t xml:space="preserve">Integrity Commission Act 2009 </w:t>
      </w:r>
      <w:r w:rsidR="00FE30ED" w:rsidRPr="002D7AB4">
        <w:rPr>
          <w:rFonts w:ascii="Cambria" w:hAnsi="Cambria"/>
          <w:sz w:val="20"/>
          <w:szCs w:val="20"/>
        </w:rPr>
        <w:t>(Tas). See also</w:t>
      </w:r>
      <w:r w:rsidR="0052675B" w:rsidRPr="002D7AB4">
        <w:rPr>
          <w:rFonts w:ascii="Cambria" w:hAnsi="Cambria"/>
          <w:sz w:val="20"/>
          <w:szCs w:val="20"/>
        </w:rPr>
        <w:t xml:space="preserve"> </w:t>
      </w:r>
      <w:r w:rsidR="00FE30ED" w:rsidRPr="002D7AB4">
        <w:rPr>
          <w:rFonts w:ascii="Cambria" w:hAnsi="Cambria"/>
          <w:sz w:val="20"/>
          <w:szCs w:val="20"/>
        </w:rPr>
        <w:t xml:space="preserve">section 5(3)(b)(iii) of the </w:t>
      </w:r>
      <w:r w:rsidR="00FE30ED" w:rsidRPr="002D7AB4">
        <w:rPr>
          <w:rFonts w:ascii="Cambria" w:hAnsi="Cambria"/>
          <w:i/>
          <w:iCs/>
          <w:sz w:val="20"/>
          <w:szCs w:val="20"/>
        </w:rPr>
        <w:t>Commissions of Inquiry Act 1995</w:t>
      </w:r>
      <w:r w:rsidR="00FE30ED" w:rsidRPr="002D7AB4">
        <w:rPr>
          <w:rFonts w:ascii="Cambria" w:hAnsi="Cambria"/>
          <w:sz w:val="20"/>
          <w:szCs w:val="20"/>
        </w:rPr>
        <w:t xml:space="preserve"> (Tas)</w:t>
      </w:r>
      <w:r w:rsidR="0052675B" w:rsidRPr="002D7AB4">
        <w:rPr>
          <w:rFonts w:ascii="Cambria" w:hAnsi="Cambria"/>
          <w:sz w:val="20"/>
          <w:szCs w:val="20"/>
        </w:rPr>
        <w:t xml:space="preserve"> and section 10(4)(a) of the </w:t>
      </w:r>
      <w:r w:rsidR="0052675B" w:rsidRPr="002D7AB4">
        <w:rPr>
          <w:rFonts w:ascii="Cambria" w:hAnsi="Cambria"/>
          <w:i/>
          <w:iCs/>
          <w:sz w:val="20"/>
          <w:szCs w:val="20"/>
        </w:rPr>
        <w:t>State Service Act 2000</w:t>
      </w:r>
      <w:r w:rsidR="0052675B" w:rsidRPr="002D7AB4">
        <w:rPr>
          <w:rFonts w:ascii="Cambria" w:hAnsi="Cambria"/>
          <w:sz w:val="20"/>
          <w:szCs w:val="20"/>
        </w:rPr>
        <w:t xml:space="preserve"> (Tas).  </w:t>
      </w:r>
      <w:r w:rsidR="00FE30ED" w:rsidRPr="002D7AB4">
        <w:rPr>
          <w:rFonts w:ascii="Cambria" w:hAnsi="Cambria"/>
          <w:sz w:val="20"/>
          <w:szCs w:val="20"/>
        </w:rPr>
        <w:t xml:space="preserve">  </w:t>
      </w:r>
    </w:p>
  </w:footnote>
  <w:footnote w:id="4">
    <w:p w:rsidR="0052675B" w:rsidRPr="002D7AB4" w:rsidRDefault="0052675B">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Section 460 of the </w:t>
      </w:r>
      <w:r w:rsidRPr="002D7AB4">
        <w:rPr>
          <w:rFonts w:ascii="Cambria" w:hAnsi="Cambria"/>
          <w:i/>
          <w:iCs/>
          <w:sz w:val="20"/>
          <w:szCs w:val="20"/>
        </w:rPr>
        <w:t>Legal Profession Act 2007</w:t>
      </w:r>
      <w:r w:rsidRPr="002D7AB4">
        <w:rPr>
          <w:rFonts w:ascii="Cambria" w:hAnsi="Cambria"/>
          <w:sz w:val="20"/>
          <w:szCs w:val="20"/>
        </w:rPr>
        <w:t xml:space="preserve"> (Tas). </w:t>
      </w:r>
    </w:p>
  </w:footnote>
  <w:footnote w:id="5">
    <w:p w:rsidR="00B91035" w:rsidRPr="002D7AB4" w:rsidRDefault="00B91035">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Sections 13(2) and 23</w:t>
      </w:r>
      <w:r w:rsidR="00C81C3E" w:rsidRPr="002D7AB4">
        <w:rPr>
          <w:rFonts w:ascii="Cambria" w:hAnsi="Cambria"/>
          <w:sz w:val="20"/>
          <w:szCs w:val="20"/>
        </w:rPr>
        <w:t>(3)</w:t>
      </w:r>
      <w:r w:rsidRPr="002D7AB4">
        <w:rPr>
          <w:rFonts w:ascii="Cambria" w:hAnsi="Cambria"/>
          <w:sz w:val="20"/>
          <w:szCs w:val="20"/>
        </w:rPr>
        <w:t xml:space="preserve"> of the </w:t>
      </w:r>
      <w:r w:rsidRPr="002D7AB4">
        <w:rPr>
          <w:rFonts w:ascii="Cambria" w:hAnsi="Cambria"/>
          <w:i/>
          <w:iCs/>
          <w:sz w:val="20"/>
          <w:szCs w:val="20"/>
        </w:rPr>
        <w:t>Judicial Conduct Commissioner Act 2015</w:t>
      </w:r>
      <w:r w:rsidRPr="002D7AB4">
        <w:rPr>
          <w:rFonts w:ascii="Cambria" w:hAnsi="Cambria"/>
          <w:sz w:val="20"/>
          <w:szCs w:val="20"/>
        </w:rPr>
        <w:t xml:space="preserve"> (SA).  </w:t>
      </w:r>
    </w:p>
  </w:footnote>
  <w:footnote w:id="6">
    <w:p w:rsidR="00775C7E" w:rsidRPr="002D7AB4" w:rsidRDefault="00775C7E" w:rsidP="00775C7E">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Mary Russell, Toward a New Paradigm of Judicial Education (2015)(1) </w:t>
      </w:r>
      <w:r w:rsidRPr="002D7AB4">
        <w:rPr>
          <w:rFonts w:ascii="Cambria" w:hAnsi="Cambria"/>
          <w:i/>
          <w:iCs/>
          <w:sz w:val="20"/>
          <w:szCs w:val="20"/>
        </w:rPr>
        <w:t>Journal of Dispute Resolution</w:t>
      </w:r>
      <w:r w:rsidRPr="002D7AB4">
        <w:rPr>
          <w:rFonts w:ascii="Cambria" w:hAnsi="Cambria"/>
          <w:sz w:val="20"/>
          <w:szCs w:val="20"/>
        </w:rPr>
        <w:t xml:space="preserve"> 79 at 79. As found in Gabrielle Appleby, Jessica Kerr, Suzanne Le Mire, Andrew Lynch and Brian </w:t>
      </w:r>
      <w:proofErr w:type="spellStart"/>
      <w:r w:rsidRPr="002D7AB4">
        <w:rPr>
          <w:rFonts w:ascii="Cambria" w:hAnsi="Cambria"/>
          <w:sz w:val="20"/>
          <w:szCs w:val="20"/>
        </w:rPr>
        <w:t>Opeskin</w:t>
      </w:r>
      <w:proofErr w:type="spellEnd"/>
      <w:r w:rsidRPr="002D7AB4">
        <w:rPr>
          <w:rFonts w:ascii="Cambria" w:hAnsi="Cambria"/>
          <w:sz w:val="20"/>
          <w:szCs w:val="20"/>
        </w:rPr>
        <w:t xml:space="preserve">, </w:t>
      </w:r>
      <w:r w:rsidRPr="002D7AB4">
        <w:rPr>
          <w:rFonts w:ascii="Cambria" w:hAnsi="Cambria"/>
          <w:i/>
          <w:iCs/>
          <w:sz w:val="20"/>
          <w:szCs w:val="20"/>
        </w:rPr>
        <w:t>Judicial education in Australia: A contemporary overview</w:t>
      </w:r>
      <w:r w:rsidRPr="002D7AB4">
        <w:rPr>
          <w:rFonts w:ascii="Cambria" w:hAnsi="Cambria"/>
          <w:sz w:val="20"/>
          <w:szCs w:val="20"/>
        </w:rPr>
        <w:t xml:space="preserve"> (December 2021) at 10.  </w:t>
      </w:r>
    </w:p>
  </w:footnote>
  <w:footnote w:id="7">
    <w:p w:rsidR="004A05CC" w:rsidRPr="002D7AB4" w:rsidRDefault="004A05CC">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Section 20G of the </w:t>
      </w:r>
      <w:r w:rsidRPr="002D7AB4">
        <w:rPr>
          <w:rFonts w:ascii="Cambria" w:hAnsi="Cambria"/>
          <w:i/>
          <w:iCs/>
          <w:sz w:val="20"/>
          <w:szCs w:val="20"/>
        </w:rPr>
        <w:t>Architects Act 1929</w:t>
      </w:r>
      <w:r w:rsidRPr="002D7AB4">
        <w:rPr>
          <w:rFonts w:ascii="Cambria" w:hAnsi="Cambria"/>
          <w:sz w:val="20"/>
          <w:szCs w:val="20"/>
        </w:rPr>
        <w:t xml:space="preserve"> (Tas); section 56(3)(a)(</w:t>
      </w:r>
      <w:proofErr w:type="spellStart"/>
      <w:r w:rsidRPr="002D7AB4">
        <w:rPr>
          <w:rFonts w:ascii="Cambria" w:hAnsi="Cambria"/>
          <w:sz w:val="20"/>
          <w:szCs w:val="20"/>
        </w:rPr>
        <w:t>i</w:t>
      </w:r>
      <w:proofErr w:type="spellEnd"/>
      <w:r w:rsidRPr="002D7AB4">
        <w:rPr>
          <w:rFonts w:ascii="Cambria" w:hAnsi="Cambria"/>
          <w:sz w:val="20"/>
          <w:szCs w:val="20"/>
        </w:rPr>
        <w:t xml:space="preserve">) of the </w:t>
      </w:r>
      <w:r w:rsidRPr="002D7AB4">
        <w:rPr>
          <w:rFonts w:ascii="Cambria" w:hAnsi="Cambria"/>
          <w:i/>
          <w:iCs/>
          <w:sz w:val="20"/>
          <w:szCs w:val="20"/>
        </w:rPr>
        <w:t>Legal Profession Act 2007</w:t>
      </w:r>
      <w:r w:rsidRPr="002D7AB4">
        <w:rPr>
          <w:rFonts w:ascii="Cambria" w:hAnsi="Cambria"/>
          <w:sz w:val="20"/>
          <w:szCs w:val="20"/>
        </w:rPr>
        <w:t xml:space="preserve"> (Tas); section 20A of the </w:t>
      </w:r>
      <w:r w:rsidRPr="002D7AB4">
        <w:rPr>
          <w:rFonts w:ascii="Cambria" w:hAnsi="Cambria"/>
          <w:i/>
          <w:iCs/>
          <w:sz w:val="20"/>
          <w:szCs w:val="20"/>
        </w:rPr>
        <w:t>Property Agents and Land Transactions Act 2016</w:t>
      </w:r>
      <w:r w:rsidRPr="002D7AB4">
        <w:rPr>
          <w:rFonts w:ascii="Cambria" w:hAnsi="Cambria"/>
          <w:sz w:val="20"/>
          <w:szCs w:val="20"/>
        </w:rPr>
        <w:t xml:space="preserve"> (Tas)</w:t>
      </w:r>
      <w:r w:rsidR="00824C8B" w:rsidRPr="002D7AB4">
        <w:rPr>
          <w:rFonts w:ascii="Cambria" w:hAnsi="Cambria"/>
          <w:sz w:val="20"/>
          <w:szCs w:val="20"/>
        </w:rPr>
        <w:t xml:space="preserve">; section 6A(g) of the </w:t>
      </w:r>
      <w:r w:rsidR="00824C8B" w:rsidRPr="002D7AB4">
        <w:rPr>
          <w:rFonts w:ascii="Cambria" w:hAnsi="Cambria"/>
          <w:i/>
          <w:iCs/>
          <w:sz w:val="20"/>
          <w:szCs w:val="20"/>
        </w:rPr>
        <w:t>Teachers Registration Act 2000</w:t>
      </w:r>
      <w:r w:rsidR="00824C8B" w:rsidRPr="002D7AB4">
        <w:rPr>
          <w:rFonts w:ascii="Cambria" w:hAnsi="Cambria"/>
          <w:sz w:val="20"/>
          <w:szCs w:val="20"/>
        </w:rPr>
        <w:t xml:space="preserve"> (Tas).   </w:t>
      </w:r>
      <w:r w:rsidRPr="002D7AB4">
        <w:rPr>
          <w:rFonts w:ascii="Cambria" w:hAnsi="Cambria"/>
          <w:sz w:val="20"/>
          <w:szCs w:val="20"/>
        </w:rPr>
        <w:t xml:space="preserve">  </w:t>
      </w:r>
    </w:p>
  </w:footnote>
  <w:footnote w:id="8">
    <w:p w:rsidR="002A529F" w:rsidRPr="002D7AB4" w:rsidRDefault="002A529F">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Australian Law Reform Commission, Managing Justice: Review of the Federal Civil Justice System, 2000, Report 89, para 2.150.</w:t>
      </w:r>
    </w:p>
  </w:footnote>
  <w:footnote w:id="9">
    <w:p w:rsidR="00FE3DD3" w:rsidRPr="002D7AB4" w:rsidRDefault="00FE3DD3">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Section 9 of the </w:t>
      </w:r>
      <w:r w:rsidRPr="002D7AB4">
        <w:rPr>
          <w:rFonts w:ascii="Cambria" w:hAnsi="Cambria"/>
          <w:i/>
          <w:iCs/>
          <w:sz w:val="20"/>
          <w:szCs w:val="20"/>
        </w:rPr>
        <w:t>Judicial Officers Act 1986</w:t>
      </w:r>
      <w:r w:rsidRPr="002D7AB4">
        <w:rPr>
          <w:rFonts w:ascii="Cambria" w:hAnsi="Cambria"/>
          <w:sz w:val="20"/>
          <w:szCs w:val="20"/>
        </w:rPr>
        <w:t xml:space="preserve"> (NSW).  </w:t>
      </w:r>
    </w:p>
  </w:footnote>
  <w:footnote w:id="10">
    <w:p w:rsidR="008614B3" w:rsidRPr="002D7AB4" w:rsidRDefault="008614B3">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Section 62(2) of the </w:t>
      </w:r>
      <w:r w:rsidRPr="002D7AB4">
        <w:rPr>
          <w:rFonts w:ascii="Cambria" w:hAnsi="Cambria"/>
          <w:i/>
          <w:iCs/>
          <w:sz w:val="20"/>
          <w:szCs w:val="20"/>
        </w:rPr>
        <w:t>Corrections Act 1997</w:t>
      </w:r>
      <w:r w:rsidRPr="002D7AB4">
        <w:rPr>
          <w:rFonts w:ascii="Cambria" w:hAnsi="Cambria"/>
          <w:sz w:val="20"/>
          <w:szCs w:val="20"/>
        </w:rPr>
        <w:t xml:space="preserve"> (Tas); section </w:t>
      </w:r>
      <w:r w:rsidR="008E57D7" w:rsidRPr="002D7AB4">
        <w:rPr>
          <w:rFonts w:ascii="Cambria" w:hAnsi="Cambria"/>
          <w:sz w:val="20"/>
          <w:szCs w:val="20"/>
        </w:rPr>
        <w:t xml:space="preserve">15(4) of the </w:t>
      </w:r>
      <w:r w:rsidR="008E57D7" w:rsidRPr="002D7AB4">
        <w:rPr>
          <w:rFonts w:ascii="Cambria" w:hAnsi="Cambria"/>
          <w:i/>
          <w:iCs/>
          <w:sz w:val="20"/>
          <w:szCs w:val="20"/>
        </w:rPr>
        <w:t>Integrity Commission Act 2009</w:t>
      </w:r>
      <w:r w:rsidR="008E57D7" w:rsidRPr="002D7AB4">
        <w:rPr>
          <w:rFonts w:ascii="Cambria" w:hAnsi="Cambria"/>
          <w:sz w:val="20"/>
          <w:szCs w:val="20"/>
        </w:rPr>
        <w:t xml:space="preserve"> (Tas)</w:t>
      </w:r>
      <w:r w:rsidR="002608DA" w:rsidRPr="002D7AB4">
        <w:rPr>
          <w:rFonts w:ascii="Cambria" w:hAnsi="Cambria"/>
          <w:sz w:val="20"/>
          <w:szCs w:val="20"/>
        </w:rPr>
        <w:t xml:space="preserve">; section 8(1) of the </w:t>
      </w:r>
      <w:r w:rsidR="002608DA" w:rsidRPr="002D7AB4">
        <w:rPr>
          <w:rFonts w:ascii="Cambria" w:hAnsi="Cambria"/>
          <w:i/>
          <w:iCs/>
          <w:sz w:val="20"/>
          <w:szCs w:val="20"/>
        </w:rPr>
        <w:t>Magistrates Court Act 1987</w:t>
      </w:r>
      <w:r w:rsidR="002608DA" w:rsidRPr="002D7AB4">
        <w:rPr>
          <w:rFonts w:ascii="Cambria" w:hAnsi="Cambria"/>
          <w:sz w:val="20"/>
          <w:szCs w:val="20"/>
        </w:rPr>
        <w:t xml:space="preserve"> (Tas). </w:t>
      </w:r>
      <w:r w:rsidR="008E57D7" w:rsidRPr="002D7AB4">
        <w:rPr>
          <w:rFonts w:ascii="Cambria" w:hAnsi="Cambria"/>
          <w:sz w:val="20"/>
          <w:szCs w:val="20"/>
        </w:rPr>
        <w:t xml:space="preserve"> </w:t>
      </w:r>
      <w:r w:rsidRPr="002D7AB4">
        <w:rPr>
          <w:rFonts w:ascii="Cambria" w:hAnsi="Cambria"/>
          <w:sz w:val="20"/>
          <w:szCs w:val="20"/>
        </w:rPr>
        <w:t xml:space="preserve">  </w:t>
      </w:r>
    </w:p>
  </w:footnote>
  <w:footnote w:id="11">
    <w:p w:rsidR="002608DA" w:rsidRPr="002D7AB4" w:rsidRDefault="002608DA">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Clause 2(d)(iii) of the </w:t>
      </w:r>
      <w:r w:rsidRPr="002D7AB4">
        <w:rPr>
          <w:rFonts w:ascii="Cambria" w:hAnsi="Cambria"/>
          <w:i/>
          <w:iCs/>
          <w:sz w:val="20"/>
          <w:szCs w:val="20"/>
        </w:rPr>
        <w:t>Judicial Commissions Bill 2024</w:t>
      </w:r>
      <w:r w:rsidRPr="002D7AB4">
        <w:rPr>
          <w:rFonts w:ascii="Cambria" w:hAnsi="Cambria"/>
          <w:sz w:val="20"/>
          <w:szCs w:val="20"/>
        </w:rPr>
        <w:t xml:space="preserve"> (Tas). </w:t>
      </w:r>
    </w:p>
  </w:footnote>
  <w:footnote w:id="12">
    <w:p w:rsidR="009A63C2" w:rsidRPr="002D7AB4" w:rsidRDefault="009A63C2">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Section 62(2)(c)(ii) of the </w:t>
      </w:r>
      <w:r w:rsidRPr="002D7AB4">
        <w:rPr>
          <w:rFonts w:ascii="Cambria" w:hAnsi="Cambria"/>
          <w:i/>
          <w:iCs/>
          <w:sz w:val="20"/>
          <w:szCs w:val="20"/>
        </w:rPr>
        <w:t>Corrections Act 1997</w:t>
      </w:r>
      <w:r w:rsidRPr="002D7AB4">
        <w:rPr>
          <w:rFonts w:ascii="Cambria" w:hAnsi="Cambria"/>
          <w:sz w:val="20"/>
          <w:szCs w:val="20"/>
        </w:rPr>
        <w:t xml:space="preserve"> (Tas). </w:t>
      </w:r>
    </w:p>
  </w:footnote>
  <w:footnote w:id="13">
    <w:p w:rsidR="002D29FF" w:rsidRPr="002D7AB4" w:rsidRDefault="002D29FF">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Section 601(2)(b) of the </w:t>
      </w:r>
      <w:r w:rsidRPr="002D7AB4">
        <w:rPr>
          <w:rFonts w:ascii="Cambria" w:hAnsi="Cambria"/>
          <w:i/>
          <w:iCs/>
          <w:sz w:val="20"/>
          <w:szCs w:val="20"/>
        </w:rPr>
        <w:t>Legal Profession Act 2007</w:t>
      </w:r>
      <w:r w:rsidRPr="002D7AB4">
        <w:rPr>
          <w:rFonts w:ascii="Cambria" w:hAnsi="Cambria"/>
          <w:sz w:val="20"/>
          <w:szCs w:val="20"/>
        </w:rPr>
        <w:t xml:space="preserve"> (Tas). </w:t>
      </w:r>
    </w:p>
  </w:footnote>
  <w:footnote w:id="14">
    <w:p w:rsidR="002D29FF" w:rsidRPr="002D7AB4" w:rsidRDefault="002D29FF">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Legal Profession Board of Tasmania, </w:t>
      </w:r>
      <w:r w:rsidRPr="002D7AB4">
        <w:rPr>
          <w:rFonts w:ascii="Cambria" w:hAnsi="Cambria"/>
          <w:i/>
          <w:iCs/>
          <w:sz w:val="20"/>
          <w:szCs w:val="20"/>
        </w:rPr>
        <w:t>Annual Report 2022-23</w:t>
      </w:r>
      <w:r w:rsidRPr="002D7AB4">
        <w:rPr>
          <w:rFonts w:ascii="Cambria" w:hAnsi="Cambria"/>
          <w:sz w:val="20"/>
          <w:szCs w:val="20"/>
        </w:rPr>
        <w:t xml:space="preserve"> (August 2023) at 26.  </w:t>
      </w:r>
    </w:p>
  </w:footnote>
  <w:footnote w:id="15">
    <w:p w:rsidR="00796A98" w:rsidRPr="002D7AB4" w:rsidRDefault="00796A98">
      <w:pPr>
        <w:pStyle w:val="FootnoteText"/>
        <w:rPr>
          <w:rFonts w:ascii="Cambria" w:hAnsi="Cambria"/>
          <w:sz w:val="20"/>
          <w:szCs w:val="20"/>
        </w:rPr>
      </w:pPr>
      <w:r w:rsidRPr="002D7AB4">
        <w:rPr>
          <w:rStyle w:val="FootnoteReference"/>
          <w:rFonts w:ascii="Cambria" w:hAnsi="Cambria"/>
          <w:sz w:val="20"/>
          <w:szCs w:val="20"/>
        </w:rPr>
        <w:footnoteRef/>
      </w:r>
      <w:r w:rsidRPr="002D7AB4">
        <w:rPr>
          <w:rFonts w:ascii="Cambria" w:hAnsi="Cambria"/>
          <w:sz w:val="20"/>
          <w:szCs w:val="20"/>
        </w:rPr>
        <w:t xml:space="preserve"> Section 27 of the </w:t>
      </w:r>
      <w:r w:rsidRPr="002D7AB4">
        <w:rPr>
          <w:rFonts w:ascii="Cambria" w:hAnsi="Cambria"/>
          <w:i/>
          <w:iCs/>
          <w:sz w:val="20"/>
          <w:szCs w:val="20"/>
        </w:rPr>
        <w:t>Judicial Conduct Commissioner Act 2015</w:t>
      </w:r>
      <w:r w:rsidRPr="002D7AB4">
        <w:rPr>
          <w:rFonts w:ascii="Cambria" w:hAnsi="Cambria"/>
          <w:sz w:val="20"/>
          <w:szCs w:val="20"/>
        </w:rPr>
        <w:t xml:space="preserve"> (SA).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257A"/>
    <w:multiLevelType w:val="hybridMultilevel"/>
    <w:tmpl w:val="0434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7513A"/>
    <w:multiLevelType w:val="hybridMultilevel"/>
    <w:tmpl w:val="85CA38A4"/>
    <w:lvl w:ilvl="0" w:tplc="2C7E51E0">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175C8"/>
    <w:multiLevelType w:val="hybridMultilevel"/>
    <w:tmpl w:val="42369562"/>
    <w:lvl w:ilvl="0" w:tplc="E85465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65855CA"/>
    <w:multiLevelType w:val="hybridMultilevel"/>
    <w:tmpl w:val="B6F0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60F3F"/>
    <w:multiLevelType w:val="hybridMultilevel"/>
    <w:tmpl w:val="11A2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486820"/>
    <w:multiLevelType w:val="hybridMultilevel"/>
    <w:tmpl w:val="C308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350683">
    <w:abstractNumId w:val="0"/>
  </w:num>
  <w:num w:numId="2" w16cid:durableId="286206082">
    <w:abstractNumId w:val="4"/>
  </w:num>
  <w:num w:numId="3" w16cid:durableId="895043706">
    <w:abstractNumId w:val="5"/>
  </w:num>
  <w:num w:numId="4" w16cid:durableId="894589456">
    <w:abstractNumId w:val="3"/>
  </w:num>
  <w:num w:numId="5" w16cid:durableId="1420057703">
    <w:abstractNumId w:val="2"/>
  </w:num>
  <w:num w:numId="6" w16cid:durableId="209200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8F"/>
    <w:rsid w:val="00024572"/>
    <w:rsid w:val="000513C0"/>
    <w:rsid w:val="0009281D"/>
    <w:rsid w:val="000D3D8B"/>
    <w:rsid w:val="000E078A"/>
    <w:rsid w:val="000E2F1E"/>
    <w:rsid w:val="000E4CF0"/>
    <w:rsid w:val="00105D05"/>
    <w:rsid w:val="001E6045"/>
    <w:rsid w:val="00215FCE"/>
    <w:rsid w:val="00242F48"/>
    <w:rsid w:val="002530BF"/>
    <w:rsid w:val="002608DA"/>
    <w:rsid w:val="002A529F"/>
    <w:rsid w:val="002D29FF"/>
    <w:rsid w:val="002D7AB4"/>
    <w:rsid w:val="002F1BE7"/>
    <w:rsid w:val="0030038F"/>
    <w:rsid w:val="003245D5"/>
    <w:rsid w:val="00335D6D"/>
    <w:rsid w:val="003C0F5E"/>
    <w:rsid w:val="004A05CC"/>
    <w:rsid w:val="004B504A"/>
    <w:rsid w:val="004D444E"/>
    <w:rsid w:val="0052675B"/>
    <w:rsid w:val="005362B9"/>
    <w:rsid w:val="005372C6"/>
    <w:rsid w:val="005F0BDB"/>
    <w:rsid w:val="006128D2"/>
    <w:rsid w:val="00624587"/>
    <w:rsid w:val="00627651"/>
    <w:rsid w:val="006430DA"/>
    <w:rsid w:val="00646CC7"/>
    <w:rsid w:val="00681C15"/>
    <w:rsid w:val="006A77F4"/>
    <w:rsid w:val="00740B73"/>
    <w:rsid w:val="007567D9"/>
    <w:rsid w:val="00775C7E"/>
    <w:rsid w:val="007918AB"/>
    <w:rsid w:val="00796A98"/>
    <w:rsid w:val="00811BF0"/>
    <w:rsid w:val="00824C8B"/>
    <w:rsid w:val="00830BAB"/>
    <w:rsid w:val="0083769B"/>
    <w:rsid w:val="008614B3"/>
    <w:rsid w:val="008A5BD9"/>
    <w:rsid w:val="008A6F68"/>
    <w:rsid w:val="008D6F66"/>
    <w:rsid w:val="008E57D7"/>
    <w:rsid w:val="00965D39"/>
    <w:rsid w:val="00970E5B"/>
    <w:rsid w:val="009758A8"/>
    <w:rsid w:val="009770F4"/>
    <w:rsid w:val="009A63C2"/>
    <w:rsid w:val="00AA0247"/>
    <w:rsid w:val="00AC571B"/>
    <w:rsid w:val="00AC62D4"/>
    <w:rsid w:val="00AE6FA8"/>
    <w:rsid w:val="00B90567"/>
    <w:rsid w:val="00B91035"/>
    <w:rsid w:val="00BD02AB"/>
    <w:rsid w:val="00BE45CF"/>
    <w:rsid w:val="00BF1ACF"/>
    <w:rsid w:val="00C17B9B"/>
    <w:rsid w:val="00C81C3E"/>
    <w:rsid w:val="00C83509"/>
    <w:rsid w:val="00CA09C8"/>
    <w:rsid w:val="00DE2837"/>
    <w:rsid w:val="00E239BB"/>
    <w:rsid w:val="00ED6BCE"/>
    <w:rsid w:val="00EE2331"/>
    <w:rsid w:val="00EE7836"/>
    <w:rsid w:val="00F06BA0"/>
    <w:rsid w:val="00FE30ED"/>
    <w:rsid w:val="00FE3DD3"/>
    <w:rsid w:val="00FF0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35A0FA"/>
  <w15:chartTrackingRefBased/>
  <w15:docId w15:val="{B1B0B2E0-1424-574C-BDD4-1186C15D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8F"/>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38F"/>
    <w:rPr>
      <w:color w:val="0563C1" w:themeColor="hyperlink"/>
      <w:u w:val="single"/>
    </w:rPr>
  </w:style>
  <w:style w:type="paragraph" w:styleId="ListParagraph">
    <w:name w:val="List Paragraph"/>
    <w:basedOn w:val="Normal"/>
    <w:uiPriority w:val="34"/>
    <w:qFormat/>
    <w:rsid w:val="0030038F"/>
    <w:pPr>
      <w:ind w:left="720"/>
      <w:contextualSpacing/>
    </w:p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30038F"/>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30038F"/>
    <w:rPr>
      <w:rFonts w:ascii="Times New Roman" w:eastAsia="Times New Roman" w:hAnsi="Times New Roman" w:cs="Times New Roman"/>
      <w:kern w:val="0"/>
      <w:lang w:eastAsia="en-GB"/>
      <w14:ligatures w14:val="none"/>
    </w:rPr>
  </w:style>
  <w:style w:type="character" w:styleId="FootnoteReference">
    <w:name w:val="footnote reference"/>
    <w:aliases w:val="Footnotes refss"/>
    <w:basedOn w:val="DefaultParagraphFont"/>
    <w:uiPriority w:val="99"/>
    <w:unhideWhenUsed/>
    <w:rsid w:val="0030038F"/>
    <w:rPr>
      <w:vertAlign w:val="superscript"/>
    </w:rPr>
  </w:style>
  <w:style w:type="character" w:styleId="Emphasis">
    <w:name w:val="Emphasis"/>
    <w:basedOn w:val="DefaultParagraphFont"/>
    <w:uiPriority w:val="20"/>
    <w:qFormat/>
    <w:rsid w:val="0030038F"/>
    <w:rPr>
      <w:i/>
      <w:iCs/>
    </w:rPr>
  </w:style>
  <w:style w:type="paragraph" w:styleId="Footer">
    <w:name w:val="footer"/>
    <w:basedOn w:val="Normal"/>
    <w:link w:val="FooterChar"/>
    <w:uiPriority w:val="99"/>
    <w:unhideWhenUsed/>
    <w:rsid w:val="0030038F"/>
    <w:pPr>
      <w:tabs>
        <w:tab w:val="center" w:pos="4513"/>
        <w:tab w:val="right" w:pos="9026"/>
      </w:tabs>
    </w:pPr>
  </w:style>
  <w:style w:type="character" w:customStyle="1" w:styleId="FooterChar">
    <w:name w:val="Footer Char"/>
    <w:basedOn w:val="DefaultParagraphFont"/>
    <w:link w:val="Footer"/>
    <w:uiPriority w:val="99"/>
    <w:rsid w:val="0030038F"/>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30038F"/>
  </w:style>
  <w:style w:type="character" w:styleId="UnresolvedMention">
    <w:name w:val="Unresolved Mention"/>
    <w:basedOn w:val="DefaultParagraphFont"/>
    <w:uiPriority w:val="99"/>
    <w:semiHidden/>
    <w:unhideWhenUsed/>
    <w:rsid w:val="0030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59408">
      <w:bodyDiv w:val="1"/>
      <w:marLeft w:val="0"/>
      <w:marRight w:val="0"/>
      <w:marTop w:val="0"/>
      <w:marBottom w:val="0"/>
      <w:divBdr>
        <w:top w:val="none" w:sz="0" w:space="0" w:color="auto"/>
        <w:left w:val="none" w:sz="0" w:space="0" w:color="auto"/>
        <w:bottom w:val="none" w:sz="0" w:space="0" w:color="auto"/>
        <w:right w:val="none" w:sz="0" w:space="0" w:color="auto"/>
      </w:divBdr>
      <w:divsChild>
        <w:div w:id="59914759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79249877">
              <w:blockQuote w:val="1"/>
              <w:marLeft w:val="0"/>
              <w:marRight w:val="0"/>
              <w:marTop w:val="120"/>
              <w:marBottom w:val="120"/>
              <w:divBdr>
                <w:top w:val="none" w:sz="0" w:space="0" w:color="auto"/>
                <w:left w:val="none" w:sz="0" w:space="0" w:color="auto"/>
                <w:bottom w:val="none" w:sz="0" w:space="0" w:color="auto"/>
                <w:right w:val="none" w:sz="0" w:space="0" w:color="auto"/>
              </w:divBdr>
            </w:div>
            <w:div w:id="54864485">
              <w:blockQuote w:val="1"/>
              <w:marLeft w:val="0"/>
              <w:marRight w:val="0"/>
              <w:marTop w:val="120"/>
              <w:marBottom w:val="120"/>
              <w:divBdr>
                <w:top w:val="none" w:sz="0" w:space="0" w:color="auto"/>
                <w:left w:val="none" w:sz="0" w:space="0" w:color="auto"/>
                <w:bottom w:val="none" w:sz="0" w:space="0" w:color="auto"/>
                <w:right w:val="none" w:sz="0" w:space="0" w:color="auto"/>
              </w:divBdr>
            </w:div>
            <w:div w:id="246110425">
              <w:blockQuote w:val="1"/>
              <w:marLeft w:val="0"/>
              <w:marRight w:val="0"/>
              <w:marTop w:val="120"/>
              <w:marBottom w:val="120"/>
              <w:divBdr>
                <w:top w:val="none" w:sz="0" w:space="0" w:color="auto"/>
                <w:left w:val="none" w:sz="0" w:space="0" w:color="auto"/>
                <w:bottom w:val="none" w:sz="0" w:space="0" w:color="auto"/>
                <w:right w:val="none" w:sz="0" w:space="0" w:color="auto"/>
              </w:divBdr>
              <w:divsChild>
                <w:div w:id="172320974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121293852">
                      <w:blockQuote w:val="1"/>
                      <w:marLeft w:val="0"/>
                      <w:marRight w:val="0"/>
                      <w:marTop w:val="120"/>
                      <w:marBottom w:val="120"/>
                      <w:divBdr>
                        <w:top w:val="none" w:sz="0" w:space="0" w:color="auto"/>
                        <w:left w:val="none" w:sz="0" w:space="0" w:color="auto"/>
                        <w:bottom w:val="none" w:sz="0" w:space="0" w:color="auto"/>
                        <w:right w:val="none" w:sz="0" w:space="0" w:color="auto"/>
                      </w:divBdr>
                    </w:div>
                    <w:div w:id="67117880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743754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2024-07-28T23:54:00Z</dcterms:created>
  <dcterms:modified xsi:type="dcterms:W3CDTF">2024-07-28T23:54:00Z</dcterms:modified>
</cp:coreProperties>
</file>