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338B" w:rsidRPr="00404F7A" w:rsidRDefault="00D4338B" w:rsidP="00D4338B">
      <w:pPr>
        <w:ind w:right="-205"/>
        <w:jc w:val="center"/>
        <w:rPr>
          <w:rFonts w:ascii="Cambria" w:hAnsi="Cambria"/>
          <w:color w:val="000000" w:themeColor="text1"/>
          <w:sz w:val="23"/>
          <w:szCs w:val="23"/>
        </w:rPr>
      </w:pPr>
      <w:r w:rsidRPr="00BC0D6B">
        <w:rPr>
          <w:rFonts w:asciiTheme="minorHAnsi" w:hAnsiTheme="minorHAnsi"/>
          <w:noProof/>
          <w:sz w:val="20"/>
          <w:szCs w:val="20"/>
          <w:lang w:val="en-US" w:eastAsia="en-US"/>
        </w:rPr>
        <w:drawing>
          <wp:inline distT="0" distB="0" distL="0" distR="0" wp14:anchorId="58FBEEBB" wp14:editId="540264AF">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D4338B" w:rsidRPr="005413D7" w:rsidRDefault="00D4338B" w:rsidP="00D4338B">
      <w:pPr>
        <w:ind w:right="-205"/>
        <w:jc w:val="both"/>
        <w:rPr>
          <w:rFonts w:ascii="Cambria" w:hAnsi="Cambria"/>
          <w:color w:val="000000" w:themeColor="text1"/>
        </w:rPr>
      </w:pPr>
    </w:p>
    <w:p w:rsidR="00D4338B" w:rsidRPr="005413D7" w:rsidRDefault="00D4338B" w:rsidP="00D4338B">
      <w:pPr>
        <w:ind w:right="-205"/>
        <w:jc w:val="both"/>
        <w:rPr>
          <w:rFonts w:ascii="Cambria" w:hAnsi="Cambria"/>
          <w:color w:val="000000" w:themeColor="text1"/>
        </w:rPr>
      </w:pPr>
    </w:p>
    <w:p w:rsidR="00D4338B" w:rsidRPr="005413D7" w:rsidRDefault="00CE1C25" w:rsidP="00D4338B">
      <w:pPr>
        <w:ind w:right="-205"/>
        <w:jc w:val="both"/>
        <w:rPr>
          <w:rFonts w:ascii="Cambria" w:hAnsi="Cambria"/>
          <w:color w:val="000000" w:themeColor="text1"/>
        </w:rPr>
      </w:pPr>
      <w:r w:rsidRPr="005413D7">
        <w:rPr>
          <w:rFonts w:ascii="Cambria" w:hAnsi="Cambria"/>
          <w:color w:val="000000" w:themeColor="text1"/>
        </w:rPr>
        <w:t>1</w:t>
      </w:r>
      <w:r w:rsidR="008C478E">
        <w:rPr>
          <w:rFonts w:ascii="Cambria" w:hAnsi="Cambria"/>
          <w:color w:val="000000" w:themeColor="text1"/>
        </w:rPr>
        <w:t>6</w:t>
      </w:r>
      <w:r w:rsidRPr="005413D7">
        <w:rPr>
          <w:rFonts w:ascii="Cambria" w:hAnsi="Cambria"/>
          <w:color w:val="000000" w:themeColor="text1"/>
        </w:rPr>
        <w:t xml:space="preserve"> December</w:t>
      </w:r>
      <w:r w:rsidR="00D4338B" w:rsidRPr="005413D7">
        <w:rPr>
          <w:rFonts w:ascii="Cambria" w:hAnsi="Cambria"/>
          <w:color w:val="000000" w:themeColor="text1"/>
        </w:rPr>
        <w:t xml:space="preserve"> 2024</w:t>
      </w:r>
    </w:p>
    <w:p w:rsidR="00D4338B" w:rsidRPr="005413D7" w:rsidRDefault="00D4338B" w:rsidP="00D4338B">
      <w:pPr>
        <w:ind w:right="-347"/>
        <w:rPr>
          <w:rFonts w:ascii="Cambria" w:hAnsi="Cambria"/>
          <w:color w:val="000000" w:themeColor="text1"/>
        </w:rPr>
      </w:pPr>
    </w:p>
    <w:p w:rsidR="00D4338B" w:rsidRPr="005413D7" w:rsidRDefault="00D4338B" w:rsidP="00D4338B">
      <w:pPr>
        <w:ind w:right="-347"/>
        <w:rPr>
          <w:rFonts w:ascii="Cambria" w:hAnsi="Cambria"/>
          <w:color w:val="000000" w:themeColor="text1"/>
        </w:rPr>
      </w:pPr>
      <w:r w:rsidRPr="005413D7">
        <w:rPr>
          <w:rFonts w:ascii="Cambria" w:hAnsi="Cambria"/>
          <w:color w:val="000000" w:themeColor="text1"/>
        </w:rPr>
        <w:t>Department of Justice</w:t>
      </w:r>
    </w:p>
    <w:p w:rsidR="00D4338B" w:rsidRPr="005413D7" w:rsidRDefault="00D4338B" w:rsidP="00D4338B">
      <w:pPr>
        <w:ind w:right="-347"/>
        <w:rPr>
          <w:rFonts w:ascii="Cambria" w:hAnsi="Cambria"/>
          <w:color w:val="000000" w:themeColor="text1"/>
        </w:rPr>
      </w:pPr>
      <w:r w:rsidRPr="005413D7">
        <w:rPr>
          <w:rFonts w:ascii="Cambria" w:hAnsi="Cambria"/>
          <w:color w:val="000000" w:themeColor="text1"/>
        </w:rPr>
        <w:t>Office of the Secretary</w:t>
      </w:r>
    </w:p>
    <w:p w:rsidR="00D4338B" w:rsidRPr="005413D7" w:rsidRDefault="00D4338B" w:rsidP="00D4338B">
      <w:pPr>
        <w:ind w:right="-347"/>
        <w:rPr>
          <w:rFonts w:ascii="Cambria" w:hAnsi="Cambria"/>
          <w:color w:val="000000" w:themeColor="text1"/>
        </w:rPr>
      </w:pPr>
      <w:r w:rsidRPr="005413D7">
        <w:rPr>
          <w:rFonts w:ascii="Cambria" w:hAnsi="Cambria"/>
          <w:color w:val="000000" w:themeColor="text1"/>
        </w:rPr>
        <w:t>GPO Box 825</w:t>
      </w:r>
    </w:p>
    <w:p w:rsidR="00D4338B" w:rsidRPr="005413D7" w:rsidRDefault="00D4338B" w:rsidP="00D4338B">
      <w:pPr>
        <w:ind w:right="-347"/>
        <w:rPr>
          <w:rFonts w:ascii="Cambria" w:hAnsi="Cambria"/>
          <w:color w:val="000000" w:themeColor="text1"/>
        </w:rPr>
      </w:pPr>
      <w:r w:rsidRPr="005413D7">
        <w:rPr>
          <w:rFonts w:ascii="Cambria" w:hAnsi="Cambria"/>
          <w:color w:val="000000" w:themeColor="text1"/>
        </w:rPr>
        <w:t>Hobart TAS 7001</w:t>
      </w:r>
      <w:r w:rsidRPr="005413D7">
        <w:rPr>
          <w:rFonts w:ascii="Cambria" w:hAnsi="Cambria"/>
          <w:color w:val="000000" w:themeColor="text1"/>
        </w:rPr>
        <w:tab/>
      </w:r>
    </w:p>
    <w:p w:rsidR="00D4338B" w:rsidRPr="005413D7" w:rsidRDefault="00D4338B" w:rsidP="00D4338B">
      <w:pPr>
        <w:ind w:left="1440" w:right="-347" w:firstLine="720"/>
        <w:rPr>
          <w:rFonts w:ascii="Cambria" w:hAnsi="Cambria"/>
          <w:color w:val="000000" w:themeColor="text1"/>
        </w:rPr>
      </w:pPr>
      <w:r w:rsidRPr="005413D7">
        <w:rPr>
          <w:rFonts w:ascii="Cambria" w:hAnsi="Cambria"/>
          <w:i/>
          <w:iCs/>
          <w:color w:val="000000" w:themeColor="text1"/>
        </w:rPr>
        <w:t xml:space="preserve">via email: </w:t>
      </w:r>
      <w:hyperlink r:id="rId8" w:history="1">
        <w:r w:rsidRPr="005413D7">
          <w:rPr>
            <w:rStyle w:val="Hyperlink"/>
            <w:rFonts w:ascii="Cambria" w:hAnsi="Cambria"/>
            <w:i/>
            <w:iCs/>
          </w:rPr>
          <w:t>haveyoursay@justice.tas.gov.au</w:t>
        </w:r>
      </w:hyperlink>
      <w:r w:rsidRPr="005413D7">
        <w:rPr>
          <w:rFonts w:ascii="Cambria" w:hAnsi="Cambria"/>
          <w:i/>
          <w:iCs/>
          <w:color w:val="000000" w:themeColor="text1"/>
        </w:rPr>
        <w:t xml:space="preserve"> </w:t>
      </w:r>
    </w:p>
    <w:p w:rsidR="00D4338B" w:rsidRPr="005413D7" w:rsidRDefault="00D4338B" w:rsidP="00D4338B">
      <w:pPr>
        <w:ind w:right="-347"/>
        <w:rPr>
          <w:rFonts w:ascii="Cambria" w:hAnsi="Cambria"/>
          <w:color w:val="000000" w:themeColor="text1"/>
        </w:rPr>
      </w:pPr>
    </w:p>
    <w:p w:rsidR="00D4338B" w:rsidRPr="005413D7" w:rsidRDefault="00D4338B" w:rsidP="00D4338B">
      <w:pPr>
        <w:ind w:right="-347"/>
        <w:rPr>
          <w:rFonts w:ascii="Cambria" w:hAnsi="Cambria"/>
          <w:color w:val="000000" w:themeColor="text1"/>
        </w:rPr>
      </w:pPr>
      <w:r w:rsidRPr="005413D7">
        <w:rPr>
          <w:rFonts w:ascii="Cambria" w:hAnsi="Cambria"/>
          <w:color w:val="000000" w:themeColor="text1"/>
        </w:rPr>
        <w:t>To the Department of Justice,  </w:t>
      </w:r>
    </w:p>
    <w:p w:rsidR="00D4338B" w:rsidRPr="005413D7" w:rsidRDefault="00D4338B" w:rsidP="00D4338B">
      <w:pPr>
        <w:pBdr>
          <w:bottom w:val="single" w:sz="6" w:space="1" w:color="auto"/>
        </w:pBdr>
        <w:ind w:right="-347"/>
        <w:rPr>
          <w:rFonts w:ascii="Cambria" w:hAnsi="Cambria"/>
          <w:b/>
          <w:color w:val="000000" w:themeColor="text1"/>
        </w:rPr>
      </w:pPr>
      <w:r w:rsidRPr="005413D7">
        <w:rPr>
          <w:rFonts w:ascii="Cambria" w:hAnsi="Cambria"/>
          <w:b/>
          <w:color w:val="000000" w:themeColor="text1"/>
        </w:rPr>
        <w:t xml:space="preserve">Re: </w:t>
      </w:r>
      <w:r w:rsidR="002E68C6" w:rsidRPr="005413D7">
        <w:rPr>
          <w:rFonts w:ascii="Cambria" w:hAnsi="Cambria"/>
          <w:b/>
          <w:i/>
          <w:iCs/>
          <w:color w:val="000000" w:themeColor="text1"/>
        </w:rPr>
        <w:t xml:space="preserve">Commission for Children and Young People </w:t>
      </w:r>
      <w:r w:rsidRPr="005413D7">
        <w:rPr>
          <w:rFonts w:ascii="Cambria" w:hAnsi="Cambria"/>
          <w:b/>
          <w:i/>
          <w:iCs/>
          <w:color w:val="000000" w:themeColor="text1"/>
        </w:rPr>
        <w:t xml:space="preserve"> Bill 2024</w:t>
      </w:r>
    </w:p>
    <w:p w:rsidR="00D4338B" w:rsidRPr="005413D7" w:rsidRDefault="00D4338B" w:rsidP="00D4338B">
      <w:pPr>
        <w:ind w:right="-347"/>
        <w:rPr>
          <w:rFonts w:ascii="Cambria" w:hAnsi="Cambria"/>
          <w:color w:val="000000" w:themeColor="text1"/>
        </w:rPr>
      </w:pPr>
    </w:p>
    <w:p w:rsidR="00D4338B" w:rsidRPr="005413D7" w:rsidRDefault="00D4338B" w:rsidP="00D4338B">
      <w:pPr>
        <w:ind w:right="-347"/>
        <w:jc w:val="both"/>
        <w:rPr>
          <w:rFonts w:ascii="Cambria" w:hAnsi="Cambria"/>
          <w:color w:val="000000" w:themeColor="text1"/>
        </w:rPr>
      </w:pPr>
      <w:r w:rsidRPr="005413D7">
        <w:rPr>
          <w:rFonts w:ascii="Cambria" w:hAnsi="Cambria" w:cs="Calibri"/>
          <w:color w:val="000000" w:themeColor="text1"/>
        </w:rPr>
        <w:t>Community Legal Centres Tasmania (CLC Tas)</w:t>
      </w:r>
      <w:r w:rsidRPr="005413D7">
        <w:rPr>
          <w:rFonts w:ascii="Cambria" w:hAnsi="Cambria"/>
          <w:color w:val="000000" w:themeColor="text1"/>
        </w:rPr>
        <w:t xml:space="preserve"> welcomes the opportunity to provide comment on the </w:t>
      </w:r>
      <w:r w:rsidR="002E68C6" w:rsidRPr="005413D7">
        <w:rPr>
          <w:rFonts w:ascii="Cambria" w:hAnsi="Cambria"/>
          <w:bCs/>
          <w:i/>
          <w:iCs/>
          <w:color w:val="000000" w:themeColor="text1"/>
        </w:rPr>
        <w:t>Commission for Children and Young People  Bill 2024</w:t>
      </w:r>
      <w:r w:rsidRPr="005413D7">
        <w:rPr>
          <w:rFonts w:ascii="Cambria" w:hAnsi="Cambria"/>
          <w:color w:val="000000" w:themeColor="text1"/>
        </w:rPr>
        <w:t xml:space="preserve"> (‘the Bill’).</w:t>
      </w:r>
      <w:r w:rsidR="00734A93" w:rsidRPr="005413D7">
        <w:rPr>
          <w:rFonts w:ascii="Cambria" w:hAnsi="Cambria"/>
          <w:color w:val="000000" w:themeColor="text1"/>
        </w:rPr>
        <w:t xml:space="preserve"> </w:t>
      </w:r>
      <w:r w:rsidR="00A676DA" w:rsidRPr="005413D7">
        <w:rPr>
          <w:rFonts w:ascii="Cambria" w:hAnsi="Cambria"/>
          <w:color w:val="000000" w:themeColor="text1"/>
        </w:rPr>
        <w:t xml:space="preserve">In general, we are supportive of </w:t>
      </w:r>
      <w:r w:rsidRPr="005413D7">
        <w:rPr>
          <w:rFonts w:ascii="Cambria" w:hAnsi="Cambria"/>
          <w:color w:val="000000" w:themeColor="text1"/>
        </w:rPr>
        <w:t>the Government’s</w:t>
      </w:r>
      <w:r w:rsidR="002E68C6" w:rsidRPr="005413D7">
        <w:rPr>
          <w:rFonts w:ascii="Cambria" w:hAnsi="Cambria"/>
          <w:color w:val="000000" w:themeColor="text1"/>
        </w:rPr>
        <w:t xml:space="preserve"> commitment to implementing comprehensive reforms to increase system oversight and improve outcomes for Tasmania’s children and young people</w:t>
      </w:r>
      <w:r w:rsidRPr="005413D7">
        <w:rPr>
          <w:rFonts w:ascii="Cambria" w:hAnsi="Cambria"/>
          <w:color w:val="000000" w:themeColor="text1"/>
        </w:rPr>
        <w:t>.</w:t>
      </w:r>
      <w:r w:rsidRPr="005413D7">
        <w:rPr>
          <w:rStyle w:val="FootnoteReference"/>
          <w:rFonts w:ascii="Cambria" w:hAnsi="Cambria"/>
          <w:color w:val="000000" w:themeColor="text1"/>
        </w:rPr>
        <w:footnoteReference w:id="1"/>
      </w:r>
      <w:r w:rsidRPr="005413D7">
        <w:rPr>
          <w:rFonts w:ascii="Cambria" w:hAnsi="Cambria"/>
          <w:color w:val="000000" w:themeColor="text1"/>
        </w:rPr>
        <w:t xml:space="preserve"> </w:t>
      </w:r>
    </w:p>
    <w:p w:rsidR="00D4338B" w:rsidRPr="005413D7" w:rsidRDefault="00D4338B" w:rsidP="00D4338B">
      <w:pPr>
        <w:ind w:right="-347"/>
        <w:jc w:val="both"/>
        <w:rPr>
          <w:rFonts w:ascii="Cambria" w:hAnsi="Cambria"/>
          <w:color w:val="000000" w:themeColor="text1"/>
        </w:rPr>
      </w:pPr>
    </w:p>
    <w:p w:rsidR="00D4338B" w:rsidRPr="005413D7" w:rsidRDefault="00D4338B" w:rsidP="00D4338B">
      <w:pPr>
        <w:ind w:right="-347"/>
        <w:jc w:val="both"/>
        <w:rPr>
          <w:rFonts w:ascii="Cambria" w:hAnsi="Cambria" w:cs="Arial"/>
          <w:color w:val="000000" w:themeColor="text1"/>
        </w:rPr>
      </w:pPr>
      <w:r w:rsidRPr="005413D7">
        <w:rPr>
          <w:rFonts w:ascii="Cambria" w:hAnsi="Cambria" w:cs="Arial"/>
          <w:color w:val="000000" w:themeColor="text1"/>
        </w:rPr>
        <w:t xml:space="preserve">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rsidR="002E68C6" w:rsidRPr="005413D7" w:rsidRDefault="002E68C6" w:rsidP="00D4338B">
      <w:pPr>
        <w:ind w:right="-347"/>
        <w:jc w:val="both"/>
        <w:rPr>
          <w:rFonts w:ascii="Cambria" w:hAnsi="Cambria" w:cs="Arial"/>
          <w:color w:val="000000" w:themeColor="text1"/>
        </w:rPr>
      </w:pPr>
    </w:p>
    <w:p w:rsidR="00A676DA" w:rsidRPr="005413D7" w:rsidRDefault="00A676DA" w:rsidP="00D4338B">
      <w:pPr>
        <w:ind w:right="-347"/>
        <w:jc w:val="both"/>
        <w:rPr>
          <w:rFonts w:ascii="Cambria" w:hAnsi="Cambria" w:cs="Arial"/>
          <w:b/>
          <w:bCs/>
          <w:color w:val="000000" w:themeColor="text1"/>
        </w:rPr>
      </w:pPr>
      <w:r w:rsidRPr="005413D7">
        <w:rPr>
          <w:rFonts w:ascii="Cambria" w:hAnsi="Cambria" w:cs="Arial"/>
          <w:b/>
          <w:bCs/>
          <w:color w:val="000000" w:themeColor="text1"/>
        </w:rPr>
        <w:t>The Commission of Inquiry</w:t>
      </w:r>
    </w:p>
    <w:p w:rsidR="00E35446" w:rsidRPr="005413D7" w:rsidRDefault="002E68C6" w:rsidP="00D4338B">
      <w:pPr>
        <w:ind w:right="-347"/>
        <w:jc w:val="both"/>
        <w:rPr>
          <w:rFonts w:ascii="Cambria" w:hAnsi="Cambria"/>
        </w:rPr>
      </w:pPr>
      <w:r w:rsidRPr="005413D7">
        <w:rPr>
          <w:rFonts w:ascii="Cambria" w:hAnsi="Cambria" w:cs="Arial"/>
          <w:color w:val="000000" w:themeColor="text1"/>
        </w:rPr>
        <w:t xml:space="preserve">The </w:t>
      </w:r>
      <w:r w:rsidRPr="005413D7">
        <w:rPr>
          <w:rFonts w:ascii="Cambria" w:hAnsi="Cambria" w:cs="Arial"/>
          <w:i/>
          <w:iCs/>
          <w:color w:val="000000" w:themeColor="text1"/>
        </w:rPr>
        <w:t>Commission of Inquiry into the Tasmanian Government’s Responses to Child Sexual Abuse</w:t>
      </w:r>
      <w:r w:rsidRPr="005413D7">
        <w:rPr>
          <w:rFonts w:ascii="Cambria" w:hAnsi="Cambria" w:cs="Arial"/>
          <w:color w:val="000000" w:themeColor="text1"/>
        </w:rPr>
        <w:t xml:space="preserve"> (‘the Commission of Inquiry’) emphasised the importance of </w:t>
      </w:r>
      <w:r w:rsidR="005118AB" w:rsidRPr="005413D7">
        <w:rPr>
          <w:rFonts w:ascii="Cambria" w:hAnsi="Cambria" w:cs="Arial"/>
          <w:color w:val="000000" w:themeColor="text1"/>
        </w:rPr>
        <w:t xml:space="preserve">protecting </w:t>
      </w:r>
      <w:r w:rsidRPr="005413D7">
        <w:rPr>
          <w:rFonts w:ascii="Cambria" w:hAnsi="Cambria" w:cs="Arial"/>
          <w:color w:val="000000" w:themeColor="text1"/>
        </w:rPr>
        <w:t>children’s rights</w:t>
      </w:r>
      <w:r w:rsidR="00845869" w:rsidRPr="005413D7">
        <w:rPr>
          <w:rFonts w:ascii="Cambria" w:hAnsi="Cambria" w:cs="Arial"/>
          <w:color w:val="000000" w:themeColor="text1"/>
        </w:rPr>
        <w:t xml:space="preserve"> and </w:t>
      </w:r>
      <w:r w:rsidR="005118AB" w:rsidRPr="005413D7">
        <w:rPr>
          <w:rFonts w:ascii="Cambria" w:hAnsi="Cambria" w:cs="Arial"/>
          <w:color w:val="000000" w:themeColor="text1"/>
        </w:rPr>
        <w:t xml:space="preserve">ensuring that children’s </w:t>
      </w:r>
      <w:r w:rsidR="00845869" w:rsidRPr="005413D7">
        <w:rPr>
          <w:rFonts w:ascii="Cambria" w:hAnsi="Cambria" w:cs="Arial"/>
          <w:color w:val="000000" w:themeColor="text1"/>
        </w:rPr>
        <w:t>safety receiv</w:t>
      </w:r>
      <w:r w:rsidR="005118AB" w:rsidRPr="005413D7">
        <w:rPr>
          <w:rFonts w:ascii="Cambria" w:hAnsi="Cambria" w:cs="Arial"/>
          <w:color w:val="000000" w:themeColor="text1"/>
        </w:rPr>
        <w:t>ed</w:t>
      </w:r>
      <w:r w:rsidR="00845869" w:rsidRPr="005413D7">
        <w:rPr>
          <w:rFonts w:ascii="Cambria" w:hAnsi="Cambria" w:cs="Arial"/>
          <w:color w:val="000000" w:themeColor="text1"/>
        </w:rPr>
        <w:t xml:space="preserve"> </w:t>
      </w:r>
      <w:r w:rsidR="005118AB" w:rsidRPr="005413D7">
        <w:rPr>
          <w:rFonts w:ascii="Cambria" w:hAnsi="Cambria" w:cs="Arial"/>
          <w:color w:val="000000" w:themeColor="text1"/>
        </w:rPr>
        <w:t xml:space="preserve">the </w:t>
      </w:r>
      <w:r w:rsidR="00845869" w:rsidRPr="005413D7">
        <w:rPr>
          <w:rFonts w:ascii="Cambria" w:hAnsi="Cambria" w:cs="Arial"/>
          <w:color w:val="000000" w:themeColor="text1"/>
        </w:rPr>
        <w:t>focus and attention</w:t>
      </w:r>
      <w:r w:rsidR="005118AB" w:rsidRPr="005413D7">
        <w:rPr>
          <w:rFonts w:ascii="Cambria" w:hAnsi="Cambria" w:cs="Arial"/>
          <w:color w:val="000000" w:themeColor="text1"/>
        </w:rPr>
        <w:t xml:space="preserve"> it deserved</w:t>
      </w:r>
      <w:r w:rsidR="00845869" w:rsidRPr="005413D7">
        <w:rPr>
          <w:rFonts w:ascii="Cambria" w:hAnsi="Cambria" w:cs="Arial"/>
          <w:color w:val="000000" w:themeColor="text1"/>
        </w:rPr>
        <w:t>.</w:t>
      </w:r>
      <w:r w:rsidR="00845869" w:rsidRPr="005413D7">
        <w:rPr>
          <w:rStyle w:val="FootnoteReference"/>
          <w:rFonts w:ascii="Cambria" w:hAnsi="Cambria"/>
          <w:color w:val="000000" w:themeColor="text1"/>
        </w:rPr>
        <w:footnoteReference w:id="2"/>
      </w:r>
      <w:r w:rsidR="00E35446" w:rsidRPr="005413D7">
        <w:rPr>
          <w:rFonts w:ascii="Cambria" w:hAnsi="Cambria" w:cs="Arial"/>
          <w:color w:val="000000" w:themeColor="text1"/>
        </w:rPr>
        <w:t xml:space="preserve"> T</w:t>
      </w:r>
      <w:r w:rsidR="005118AB" w:rsidRPr="005413D7">
        <w:rPr>
          <w:rFonts w:ascii="Cambria" w:hAnsi="Cambria" w:cs="Arial"/>
          <w:color w:val="000000" w:themeColor="text1"/>
        </w:rPr>
        <w:t>he Commission of Inquiry recommended “</w:t>
      </w:r>
      <w:r w:rsidR="005118AB" w:rsidRPr="005413D7">
        <w:rPr>
          <w:rFonts w:ascii="Cambria" w:hAnsi="Cambria"/>
        </w:rPr>
        <w:t>a new Commission for Children and Young People be established with appropriate independence, powers and resourcing to act as a strong and fearless advocate for children’s rights and to monitor child safe practices in organisations”.</w:t>
      </w:r>
      <w:r w:rsidR="005118AB" w:rsidRPr="005413D7">
        <w:rPr>
          <w:rStyle w:val="FootnoteReference"/>
          <w:rFonts w:ascii="Cambria" w:hAnsi="Cambria"/>
        </w:rPr>
        <w:footnoteReference w:id="3"/>
      </w:r>
      <w:r w:rsidR="005118AB" w:rsidRPr="005413D7">
        <w:rPr>
          <w:rFonts w:ascii="Cambria" w:hAnsi="Cambria"/>
        </w:rPr>
        <w:t xml:space="preserve"> </w:t>
      </w:r>
      <w:r w:rsidR="00E35446" w:rsidRPr="005413D7">
        <w:rPr>
          <w:rFonts w:ascii="Cambria" w:hAnsi="Cambria"/>
        </w:rPr>
        <w:t>As well, t</w:t>
      </w:r>
      <w:r w:rsidR="005118AB" w:rsidRPr="005413D7">
        <w:rPr>
          <w:rFonts w:ascii="Cambria" w:hAnsi="Cambria"/>
        </w:rPr>
        <w:t>he Commission of Inquiry recommended that three key role-holders</w:t>
      </w:r>
      <w:r w:rsidR="00E35446" w:rsidRPr="005413D7">
        <w:rPr>
          <w:rFonts w:ascii="Cambria" w:hAnsi="Cambria"/>
        </w:rPr>
        <w:t xml:space="preserve"> </w:t>
      </w:r>
      <w:r w:rsidR="005118AB" w:rsidRPr="005413D7">
        <w:rPr>
          <w:rFonts w:ascii="Cambria" w:hAnsi="Cambria"/>
        </w:rPr>
        <w:t>form the leadership of the new Commission namely a Commissioner for Children and Young People, a Commissioner for Aboriginal Children and Young People and a Child Advocate</w:t>
      </w:r>
      <w:r w:rsidR="005118AB" w:rsidRPr="005413D7">
        <w:rPr>
          <w:rStyle w:val="FootnoteReference"/>
          <w:rFonts w:ascii="Cambria" w:hAnsi="Cambria"/>
        </w:rPr>
        <w:footnoteReference w:id="4"/>
      </w:r>
      <w:r w:rsidR="005118AB" w:rsidRPr="005413D7">
        <w:rPr>
          <w:rFonts w:ascii="Cambria" w:hAnsi="Cambria"/>
        </w:rPr>
        <w:t xml:space="preserve"> </w:t>
      </w:r>
    </w:p>
    <w:p w:rsidR="005413D7" w:rsidRPr="005413D7" w:rsidRDefault="005413D7" w:rsidP="00D4338B">
      <w:pPr>
        <w:ind w:right="-347"/>
        <w:jc w:val="both"/>
        <w:rPr>
          <w:rFonts w:ascii="Cambria" w:hAnsi="Cambria"/>
        </w:rPr>
      </w:pPr>
    </w:p>
    <w:p w:rsidR="005413D7" w:rsidRPr="005413D7" w:rsidRDefault="005413D7" w:rsidP="00D4338B">
      <w:pPr>
        <w:ind w:right="-347"/>
        <w:jc w:val="both"/>
        <w:rPr>
          <w:rFonts w:ascii="Cambria" w:hAnsi="Cambria" w:cs="Arial"/>
          <w:color w:val="000000" w:themeColor="text1"/>
        </w:rPr>
      </w:pPr>
    </w:p>
    <w:p w:rsidR="005B58F2" w:rsidRPr="005413D7" w:rsidRDefault="008C5BCF" w:rsidP="008C5BCF">
      <w:pPr>
        <w:pStyle w:val="ListParagraph"/>
        <w:numPr>
          <w:ilvl w:val="0"/>
          <w:numId w:val="3"/>
        </w:numPr>
        <w:ind w:right="-347"/>
        <w:jc w:val="both"/>
        <w:rPr>
          <w:rFonts w:ascii="Cambria" w:hAnsi="Cambria" w:cs="Arial"/>
          <w:b/>
          <w:bCs/>
          <w:i/>
          <w:iCs/>
          <w:color w:val="000000" w:themeColor="text1"/>
        </w:rPr>
      </w:pPr>
      <w:r w:rsidRPr="005413D7">
        <w:rPr>
          <w:rFonts w:ascii="Cambria" w:hAnsi="Cambria" w:cs="Arial"/>
          <w:b/>
          <w:bCs/>
          <w:i/>
          <w:iCs/>
          <w:color w:val="000000" w:themeColor="text1"/>
        </w:rPr>
        <w:lastRenderedPageBreak/>
        <w:t>Child Advocate</w:t>
      </w:r>
    </w:p>
    <w:p w:rsidR="00FC6869" w:rsidRPr="005413D7" w:rsidRDefault="008D14D3" w:rsidP="00D4338B">
      <w:pPr>
        <w:ind w:right="-347"/>
        <w:jc w:val="both"/>
        <w:rPr>
          <w:rFonts w:ascii="Cambria" w:hAnsi="Cambria"/>
        </w:rPr>
      </w:pPr>
      <w:r w:rsidRPr="005413D7">
        <w:rPr>
          <w:rFonts w:ascii="Cambria" w:hAnsi="Cambria" w:cs="Arial"/>
          <w:color w:val="000000" w:themeColor="text1"/>
        </w:rPr>
        <w:t xml:space="preserve">The Commission of Inquiry </w:t>
      </w:r>
      <w:r w:rsidR="00FC6869" w:rsidRPr="005413D7">
        <w:rPr>
          <w:rFonts w:ascii="Cambria" w:hAnsi="Cambria" w:cs="Arial"/>
          <w:color w:val="000000" w:themeColor="text1"/>
        </w:rPr>
        <w:t>noted that that there was “room for improvement in the oversight of child sexual abuse”,</w:t>
      </w:r>
      <w:r w:rsidR="00FC6869" w:rsidRPr="005413D7">
        <w:rPr>
          <w:rStyle w:val="FootnoteReference"/>
          <w:rFonts w:ascii="Cambria" w:hAnsi="Cambria" w:cs="Arial"/>
          <w:color w:val="000000" w:themeColor="text1"/>
        </w:rPr>
        <w:footnoteReference w:id="5"/>
      </w:r>
      <w:r w:rsidR="00FC6869" w:rsidRPr="005413D7">
        <w:rPr>
          <w:rFonts w:ascii="Cambria" w:hAnsi="Cambria" w:cs="Arial"/>
          <w:color w:val="000000" w:themeColor="text1"/>
        </w:rPr>
        <w:t xml:space="preserve"> </w:t>
      </w:r>
      <w:r w:rsidR="00FC6869" w:rsidRPr="005413D7">
        <w:rPr>
          <w:rFonts w:ascii="Cambria" w:hAnsi="Cambria"/>
        </w:rPr>
        <w:t xml:space="preserve">recommending </w:t>
      </w:r>
      <w:r w:rsidR="00FC6869" w:rsidRPr="005413D7">
        <w:rPr>
          <w:rFonts w:ascii="Cambria" w:hAnsi="Cambria" w:cs="Arial"/>
          <w:color w:val="000000" w:themeColor="text1"/>
        </w:rPr>
        <w:t>the establishment of</w:t>
      </w:r>
      <w:r w:rsidR="00FC6869" w:rsidRPr="005413D7">
        <w:rPr>
          <w:rFonts w:ascii="Cambria" w:hAnsi="Cambria"/>
        </w:rPr>
        <w:t xml:space="preserve"> an independent Child Advocate who would advocate on behalf of children and young people in out of home care and youth detention.</w:t>
      </w:r>
      <w:r w:rsidR="005413D7" w:rsidRPr="005413D7">
        <w:rPr>
          <w:rStyle w:val="FootnoteReference"/>
          <w:rFonts w:ascii="Cambria" w:hAnsi="Cambria"/>
        </w:rPr>
        <w:footnoteReference w:id="6"/>
      </w:r>
      <w:r w:rsidR="001D5059" w:rsidRPr="005413D7">
        <w:rPr>
          <w:rFonts w:ascii="Cambria" w:hAnsi="Cambria"/>
        </w:rPr>
        <w:t xml:space="preserve"> </w:t>
      </w:r>
      <w:r w:rsidR="00FC6869" w:rsidRPr="005413D7">
        <w:rPr>
          <w:rFonts w:ascii="Cambria" w:hAnsi="Cambria"/>
        </w:rPr>
        <w:t>Whilst the Commission of Inquiry recommended that the Child Advocate “should sit within the Commission as a Deputy Commissioner”</w:t>
      </w:r>
      <w:r w:rsidR="00FC6869" w:rsidRPr="005413D7">
        <w:rPr>
          <w:rStyle w:val="FootnoteReference"/>
          <w:rFonts w:ascii="Cambria" w:hAnsi="Cambria"/>
        </w:rPr>
        <w:footnoteReference w:id="7"/>
      </w:r>
      <w:r w:rsidR="00450F3B">
        <w:rPr>
          <w:rFonts w:ascii="Cambria" w:hAnsi="Cambria"/>
        </w:rPr>
        <w:t xml:space="preserve"> </w:t>
      </w:r>
      <w:r w:rsidR="00FC6869" w:rsidRPr="005413D7">
        <w:rPr>
          <w:rFonts w:ascii="Cambria" w:hAnsi="Cambria"/>
        </w:rPr>
        <w:t xml:space="preserve">we strongly support the Government’s intention to establish the Child Advocate as a Commissioner on the basis that </w:t>
      </w:r>
      <w:r w:rsidR="000B3B0F" w:rsidRPr="005413D7">
        <w:rPr>
          <w:rFonts w:ascii="Cambria" w:hAnsi="Cambria"/>
        </w:rPr>
        <w:t>advocating for children is not a secondary role</w:t>
      </w:r>
      <w:r w:rsidR="00C54A9A" w:rsidRPr="005413D7">
        <w:rPr>
          <w:rFonts w:ascii="Cambria" w:hAnsi="Cambria"/>
        </w:rPr>
        <w:t xml:space="preserve"> and also ensures</w:t>
      </w:r>
      <w:r w:rsidR="00A45EB5" w:rsidRPr="005413D7">
        <w:rPr>
          <w:rFonts w:ascii="Cambria" w:hAnsi="Cambria"/>
        </w:rPr>
        <w:t xml:space="preserve"> its</w:t>
      </w:r>
      <w:r w:rsidR="00C54A9A" w:rsidRPr="005413D7">
        <w:rPr>
          <w:rFonts w:ascii="Cambria" w:hAnsi="Cambria"/>
        </w:rPr>
        <w:t xml:space="preserve"> independence</w:t>
      </w:r>
      <w:r w:rsidR="000B3B0F" w:rsidRPr="005413D7">
        <w:rPr>
          <w:rFonts w:ascii="Cambria" w:hAnsi="Cambria"/>
        </w:rPr>
        <w:t>.</w:t>
      </w:r>
      <w:r w:rsidR="00C54A9A" w:rsidRPr="005413D7">
        <w:rPr>
          <w:rFonts w:ascii="Cambria" w:hAnsi="Cambria"/>
        </w:rPr>
        <w:t xml:space="preserve"> </w:t>
      </w:r>
    </w:p>
    <w:p w:rsidR="001D5059" w:rsidRPr="005413D7" w:rsidRDefault="001D5059" w:rsidP="00D4338B">
      <w:pPr>
        <w:ind w:right="-347"/>
        <w:jc w:val="both"/>
        <w:rPr>
          <w:rFonts w:ascii="Cambria" w:hAnsi="Cambria"/>
        </w:rPr>
      </w:pPr>
    </w:p>
    <w:p w:rsidR="00A45EB5" w:rsidRPr="005413D7" w:rsidRDefault="000A7FE0" w:rsidP="00A45EB5">
      <w:pPr>
        <w:pStyle w:val="ListParagraph"/>
        <w:numPr>
          <w:ilvl w:val="0"/>
          <w:numId w:val="3"/>
        </w:numPr>
        <w:ind w:right="-347"/>
        <w:jc w:val="both"/>
        <w:rPr>
          <w:rFonts w:ascii="Cambria" w:hAnsi="Cambria"/>
          <w:b/>
          <w:bCs/>
          <w:i/>
          <w:iCs/>
        </w:rPr>
      </w:pPr>
      <w:r w:rsidRPr="005413D7">
        <w:rPr>
          <w:rFonts w:ascii="Cambria" w:hAnsi="Cambria"/>
          <w:b/>
          <w:bCs/>
          <w:i/>
          <w:iCs/>
        </w:rPr>
        <w:t xml:space="preserve">Commissioner for </w:t>
      </w:r>
      <w:r w:rsidR="00A45EB5" w:rsidRPr="005413D7">
        <w:rPr>
          <w:rFonts w:ascii="Cambria" w:hAnsi="Cambria"/>
          <w:b/>
          <w:bCs/>
          <w:i/>
          <w:iCs/>
        </w:rPr>
        <w:t xml:space="preserve">Aboriginal </w:t>
      </w:r>
      <w:r w:rsidRPr="005413D7">
        <w:rPr>
          <w:rFonts w:ascii="Cambria" w:hAnsi="Cambria"/>
          <w:b/>
          <w:bCs/>
          <w:i/>
          <w:iCs/>
        </w:rPr>
        <w:t>Children and Young People</w:t>
      </w:r>
      <w:r w:rsidR="00A45EB5" w:rsidRPr="005413D7">
        <w:rPr>
          <w:rFonts w:ascii="Cambria" w:hAnsi="Cambria"/>
          <w:b/>
          <w:bCs/>
          <w:i/>
          <w:iCs/>
        </w:rPr>
        <w:t xml:space="preserve"> </w:t>
      </w:r>
    </w:p>
    <w:p w:rsidR="00A45EB5" w:rsidRPr="005413D7" w:rsidRDefault="00347B90" w:rsidP="00D4338B">
      <w:pPr>
        <w:ind w:right="-347"/>
        <w:jc w:val="both"/>
        <w:rPr>
          <w:rFonts w:ascii="Cambria" w:hAnsi="Cambria"/>
        </w:rPr>
      </w:pPr>
      <w:r w:rsidRPr="005413D7">
        <w:rPr>
          <w:rFonts w:ascii="Cambria" w:hAnsi="Cambria"/>
        </w:rPr>
        <w:t xml:space="preserve">In Victoria, </w:t>
      </w:r>
      <w:r w:rsidR="00C15907" w:rsidRPr="005413D7">
        <w:rPr>
          <w:rFonts w:ascii="Cambria" w:hAnsi="Cambria"/>
        </w:rPr>
        <w:t>a</w:t>
      </w:r>
      <w:r w:rsidRPr="005413D7">
        <w:rPr>
          <w:rFonts w:ascii="Cambria" w:hAnsi="Cambria"/>
        </w:rPr>
        <w:t xml:space="preserve"> review of the child protection system </w:t>
      </w:r>
      <w:r w:rsidR="00C15907" w:rsidRPr="005413D7">
        <w:rPr>
          <w:rFonts w:ascii="Cambria" w:hAnsi="Cambria"/>
        </w:rPr>
        <w:t xml:space="preserve">noted its concern that </w:t>
      </w:r>
      <w:r w:rsidR="005D5D47" w:rsidRPr="005413D7">
        <w:rPr>
          <w:rFonts w:ascii="Cambria" w:hAnsi="Cambria"/>
        </w:rPr>
        <w:t>whilst there was express recognition of the Commissioner for Children and Young People in</w:t>
      </w:r>
      <w:r w:rsidR="00E35446" w:rsidRPr="005413D7">
        <w:rPr>
          <w:rFonts w:ascii="Cambria" w:hAnsi="Cambria"/>
        </w:rPr>
        <w:t xml:space="preserve"> the </w:t>
      </w:r>
      <w:r w:rsidR="005D5D47" w:rsidRPr="005413D7">
        <w:rPr>
          <w:rFonts w:ascii="Cambria" w:hAnsi="Cambria"/>
          <w:i/>
          <w:iCs/>
        </w:rPr>
        <w:t>Commission for Children and Young People Act 2012</w:t>
      </w:r>
      <w:r w:rsidR="005D5D47" w:rsidRPr="005413D7">
        <w:rPr>
          <w:rFonts w:ascii="Cambria" w:hAnsi="Cambria"/>
        </w:rPr>
        <w:t xml:space="preserve"> (Vic)</w:t>
      </w:r>
      <w:r w:rsidR="00E35446" w:rsidRPr="005413D7">
        <w:rPr>
          <w:rFonts w:ascii="Cambria" w:hAnsi="Cambria"/>
        </w:rPr>
        <w:t>,</w:t>
      </w:r>
      <w:r w:rsidR="005D5D47" w:rsidRPr="005413D7">
        <w:rPr>
          <w:rFonts w:ascii="Cambria" w:hAnsi="Cambria"/>
        </w:rPr>
        <w:t xml:space="preserve"> there was no </w:t>
      </w:r>
      <w:r w:rsidR="008E56B5" w:rsidRPr="005413D7">
        <w:rPr>
          <w:rFonts w:ascii="Cambria" w:hAnsi="Cambria"/>
        </w:rPr>
        <w:t xml:space="preserve">explicit </w:t>
      </w:r>
      <w:r w:rsidR="005D5D47" w:rsidRPr="005413D7">
        <w:rPr>
          <w:rFonts w:ascii="Cambria" w:hAnsi="Cambria"/>
        </w:rPr>
        <w:t>acknowledgement of an Aboriginal Commissioner for Children and Young People.</w:t>
      </w:r>
      <w:r w:rsidR="005D5D47" w:rsidRPr="005413D7">
        <w:rPr>
          <w:rStyle w:val="FootnoteReference"/>
          <w:rFonts w:ascii="Cambria" w:hAnsi="Cambria"/>
        </w:rPr>
        <w:footnoteReference w:id="8"/>
      </w:r>
      <w:r w:rsidRPr="005413D7">
        <w:rPr>
          <w:rFonts w:ascii="Cambria" w:hAnsi="Cambria"/>
        </w:rPr>
        <w:t xml:space="preserve"> </w:t>
      </w:r>
      <w:r w:rsidR="000A7FE0" w:rsidRPr="005413D7">
        <w:rPr>
          <w:rFonts w:ascii="Cambria" w:hAnsi="Cambria"/>
        </w:rPr>
        <w:t xml:space="preserve">As a result, </w:t>
      </w:r>
      <w:r w:rsidR="007F0250" w:rsidRPr="005413D7">
        <w:rPr>
          <w:rFonts w:ascii="Cambria" w:hAnsi="Cambria"/>
        </w:rPr>
        <w:t xml:space="preserve">although Victoria </w:t>
      </w:r>
      <w:r w:rsidR="00E35446" w:rsidRPr="005413D7">
        <w:rPr>
          <w:rFonts w:ascii="Cambria" w:hAnsi="Cambria"/>
        </w:rPr>
        <w:t xml:space="preserve">has an </w:t>
      </w:r>
      <w:r w:rsidR="007F0250" w:rsidRPr="005413D7">
        <w:rPr>
          <w:rFonts w:ascii="Cambria" w:hAnsi="Cambria"/>
        </w:rPr>
        <w:t xml:space="preserve">Aboriginal Commissioner, </w:t>
      </w:r>
      <w:r w:rsidR="000A7FE0" w:rsidRPr="005413D7">
        <w:rPr>
          <w:rFonts w:ascii="Cambria" w:hAnsi="Cambria"/>
        </w:rPr>
        <w:t xml:space="preserve">the </w:t>
      </w:r>
      <w:r w:rsidR="000C500F" w:rsidRPr="005413D7">
        <w:rPr>
          <w:rFonts w:ascii="Cambria" w:hAnsi="Cambria"/>
        </w:rPr>
        <w:t xml:space="preserve">appointment </w:t>
      </w:r>
      <w:r w:rsidR="007F0250" w:rsidRPr="005413D7">
        <w:rPr>
          <w:rFonts w:ascii="Cambria" w:hAnsi="Cambria"/>
        </w:rPr>
        <w:t>is</w:t>
      </w:r>
      <w:r w:rsidR="000A7FE0" w:rsidRPr="005413D7">
        <w:rPr>
          <w:rFonts w:ascii="Cambria" w:hAnsi="Cambria"/>
        </w:rPr>
        <w:t xml:space="preserve"> </w:t>
      </w:r>
      <w:r w:rsidR="000C500F" w:rsidRPr="005413D7">
        <w:rPr>
          <w:rFonts w:ascii="Cambria" w:hAnsi="Cambria"/>
        </w:rPr>
        <w:t xml:space="preserve">discretionary and upon appointment, </w:t>
      </w:r>
      <w:r w:rsidR="000A7FE0" w:rsidRPr="005413D7">
        <w:rPr>
          <w:rFonts w:ascii="Cambria" w:hAnsi="Cambria"/>
        </w:rPr>
        <w:t xml:space="preserve">reliant on the delegation of power from the Children’s Commissioner. </w:t>
      </w:r>
    </w:p>
    <w:p w:rsidR="000A7FE0" w:rsidRPr="005413D7" w:rsidRDefault="000A7FE0" w:rsidP="00D4338B">
      <w:pPr>
        <w:ind w:right="-347"/>
        <w:jc w:val="both"/>
        <w:rPr>
          <w:rFonts w:ascii="Cambria" w:hAnsi="Cambria"/>
        </w:rPr>
      </w:pPr>
    </w:p>
    <w:p w:rsidR="00C37CAB" w:rsidRPr="005413D7" w:rsidRDefault="00C15907" w:rsidP="00D4338B">
      <w:pPr>
        <w:ind w:right="-347"/>
        <w:jc w:val="both"/>
        <w:rPr>
          <w:rFonts w:ascii="Cambria" w:hAnsi="Cambria"/>
        </w:rPr>
      </w:pPr>
      <w:r w:rsidRPr="005413D7">
        <w:rPr>
          <w:rFonts w:ascii="Cambria" w:hAnsi="Cambria"/>
        </w:rPr>
        <w:t>In Tasmania, t</w:t>
      </w:r>
      <w:r w:rsidR="000A7FE0" w:rsidRPr="005413D7">
        <w:rPr>
          <w:rFonts w:ascii="Cambria" w:hAnsi="Cambria"/>
        </w:rPr>
        <w:t>he express recognition of an Aboriginal Commissioner for Children and Young People</w:t>
      </w:r>
      <w:r w:rsidR="006045AF" w:rsidRPr="005413D7">
        <w:rPr>
          <w:rFonts w:ascii="Cambria" w:hAnsi="Cambria"/>
        </w:rPr>
        <w:t xml:space="preserve"> (‘Aboriginal Commissioner’)</w:t>
      </w:r>
      <w:r w:rsidR="008E56B5" w:rsidRPr="005413D7">
        <w:rPr>
          <w:rFonts w:ascii="Cambria" w:hAnsi="Cambria"/>
        </w:rPr>
        <w:t xml:space="preserve"> in </w:t>
      </w:r>
      <w:r w:rsidR="007F0250" w:rsidRPr="005413D7">
        <w:rPr>
          <w:rFonts w:ascii="Cambria" w:hAnsi="Cambria"/>
        </w:rPr>
        <w:t>the Bill</w:t>
      </w:r>
      <w:r w:rsidR="008E56B5" w:rsidRPr="005413D7">
        <w:rPr>
          <w:rFonts w:ascii="Cambria" w:hAnsi="Cambria"/>
        </w:rPr>
        <w:t xml:space="preserve"> is strongly supported </w:t>
      </w:r>
      <w:r w:rsidRPr="005413D7">
        <w:rPr>
          <w:rFonts w:ascii="Cambria" w:hAnsi="Cambria"/>
        </w:rPr>
        <w:t>for a number of reasons including that</w:t>
      </w:r>
      <w:r w:rsidR="009827F8" w:rsidRPr="005413D7">
        <w:rPr>
          <w:rFonts w:ascii="Cambria" w:hAnsi="Cambria"/>
        </w:rPr>
        <w:t xml:space="preserve"> it will promote the voices of aboriginal children</w:t>
      </w:r>
      <w:r w:rsidR="00E35446" w:rsidRPr="005413D7">
        <w:rPr>
          <w:rFonts w:ascii="Cambria" w:hAnsi="Cambria"/>
        </w:rPr>
        <w:t xml:space="preserve"> </w:t>
      </w:r>
      <w:r w:rsidR="009827F8" w:rsidRPr="005413D7">
        <w:rPr>
          <w:rFonts w:ascii="Cambria" w:hAnsi="Cambria"/>
        </w:rPr>
        <w:t xml:space="preserve">at a time when </w:t>
      </w:r>
      <w:r w:rsidRPr="005413D7">
        <w:rPr>
          <w:rFonts w:ascii="Cambria" w:hAnsi="Cambria"/>
        </w:rPr>
        <w:t>aboriginal children are over-represented in a range of high-risk settings particularly out of home care and youth detention.</w:t>
      </w:r>
      <w:r w:rsidRPr="005413D7">
        <w:rPr>
          <w:rStyle w:val="FootnoteReference"/>
          <w:rFonts w:ascii="Cambria" w:hAnsi="Cambria"/>
        </w:rPr>
        <w:footnoteReference w:id="9"/>
      </w:r>
      <w:r w:rsidR="000C500F" w:rsidRPr="005413D7">
        <w:rPr>
          <w:rFonts w:ascii="Cambria" w:hAnsi="Cambria"/>
        </w:rPr>
        <w:t xml:space="preserve"> The establishment of an Aboriginal Commissioner</w:t>
      </w:r>
      <w:r w:rsidR="009827F8" w:rsidRPr="005413D7">
        <w:rPr>
          <w:rFonts w:ascii="Cambria" w:hAnsi="Cambria"/>
        </w:rPr>
        <w:t xml:space="preserve"> would also be consistent with </w:t>
      </w:r>
      <w:r w:rsidR="00E72848" w:rsidRPr="005413D7">
        <w:rPr>
          <w:rFonts w:ascii="Cambria" w:hAnsi="Cambria"/>
        </w:rPr>
        <w:t xml:space="preserve">the Aboriginal and Torres Strait Islander Child Placement Principle, </w:t>
      </w:r>
      <w:r w:rsidR="00E35446" w:rsidRPr="005413D7">
        <w:rPr>
          <w:rFonts w:ascii="Cambria" w:hAnsi="Cambria"/>
        </w:rPr>
        <w:t>our</w:t>
      </w:r>
      <w:r w:rsidR="00E72848" w:rsidRPr="005413D7">
        <w:rPr>
          <w:rFonts w:ascii="Cambria" w:hAnsi="Cambria"/>
        </w:rPr>
        <w:t xml:space="preserve"> national policy framework for preventing Aboriginal children from entering the out of home care system. A recent review of the Placement</w:t>
      </w:r>
      <w:r w:rsidR="00E35446" w:rsidRPr="005413D7">
        <w:rPr>
          <w:rFonts w:ascii="Cambria" w:hAnsi="Cambria"/>
        </w:rPr>
        <w:t xml:space="preserve"> Principles urged all States and Territories to introduce an Aboriginal Commissioner, noting</w:t>
      </w:r>
      <w:r w:rsidR="005A12A0" w:rsidRPr="005413D7">
        <w:rPr>
          <w:rFonts w:ascii="Cambria" w:hAnsi="Cambria"/>
        </w:rPr>
        <w:t xml:space="preserve"> “their role is pivotal in providing Aboriginal and Torres Strait Islander leadership to advocate for the rights of children and to create accountability for necessary systems and practice transformation”.</w:t>
      </w:r>
      <w:r w:rsidR="009827F8" w:rsidRPr="005413D7">
        <w:rPr>
          <w:rStyle w:val="FootnoteReference"/>
          <w:rFonts w:ascii="Cambria" w:hAnsi="Cambria"/>
        </w:rPr>
        <w:footnoteReference w:id="10"/>
      </w:r>
      <w:r w:rsidR="009827F8" w:rsidRPr="005413D7">
        <w:rPr>
          <w:rFonts w:ascii="Cambria" w:hAnsi="Cambria"/>
        </w:rPr>
        <w:t xml:space="preserve"> </w:t>
      </w:r>
      <w:r w:rsidR="00E35446" w:rsidRPr="005413D7">
        <w:rPr>
          <w:rFonts w:ascii="Cambria" w:hAnsi="Cambria"/>
        </w:rPr>
        <w:t>As well as conforming with the Placement Principle, the introduction of an Aboriginal Commissioner is</w:t>
      </w:r>
      <w:r w:rsidR="007F0250" w:rsidRPr="005413D7">
        <w:rPr>
          <w:rFonts w:ascii="Cambria" w:hAnsi="Cambria" w:cs="Arial"/>
          <w:color w:val="000000" w:themeColor="text1"/>
        </w:rPr>
        <w:t xml:space="preserve"> consistent</w:t>
      </w:r>
      <w:r w:rsidR="007F0250" w:rsidRPr="005413D7">
        <w:rPr>
          <w:rFonts w:ascii="Cambria" w:hAnsi="Cambria"/>
        </w:rPr>
        <w:t xml:space="preserve"> </w:t>
      </w:r>
      <w:r w:rsidR="000C500F" w:rsidRPr="005413D7">
        <w:rPr>
          <w:rFonts w:ascii="Cambria" w:hAnsi="Cambria"/>
        </w:rPr>
        <w:t>with South Australia and the ACT who have both appointed Aboriginal Commissioners.</w:t>
      </w:r>
      <w:r w:rsidR="000C500F" w:rsidRPr="005413D7">
        <w:rPr>
          <w:rStyle w:val="FootnoteReference"/>
          <w:rFonts w:ascii="Cambria" w:hAnsi="Cambria"/>
        </w:rPr>
        <w:footnoteReference w:id="11"/>
      </w:r>
      <w:r w:rsidR="000C500F" w:rsidRPr="005413D7">
        <w:rPr>
          <w:rFonts w:ascii="Cambria" w:hAnsi="Cambria"/>
        </w:rPr>
        <w:t xml:space="preserve"> </w:t>
      </w:r>
    </w:p>
    <w:p w:rsidR="00C37CAB" w:rsidRPr="005413D7" w:rsidRDefault="00C37CAB" w:rsidP="00D4338B">
      <w:pPr>
        <w:ind w:right="-347"/>
        <w:jc w:val="both"/>
        <w:rPr>
          <w:rFonts w:ascii="Cambria" w:hAnsi="Cambria"/>
        </w:rPr>
      </w:pPr>
    </w:p>
    <w:p w:rsidR="006045AF" w:rsidRPr="005413D7" w:rsidRDefault="006045AF" w:rsidP="006045AF">
      <w:pPr>
        <w:pStyle w:val="ListParagraph"/>
        <w:numPr>
          <w:ilvl w:val="0"/>
          <w:numId w:val="3"/>
        </w:numPr>
        <w:ind w:right="-347"/>
        <w:jc w:val="both"/>
        <w:rPr>
          <w:rFonts w:ascii="Cambria" w:hAnsi="Cambria" w:cs="Arial"/>
          <w:b/>
          <w:bCs/>
          <w:i/>
          <w:iCs/>
          <w:color w:val="000000" w:themeColor="text1"/>
        </w:rPr>
      </w:pPr>
      <w:r w:rsidRPr="005413D7">
        <w:rPr>
          <w:rFonts w:ascii="Cambria" w:hAnsi="Cambria" w:cs="Arial"/>
          <w:b/>
          <w:bCs/>
          <w:i/>
          <w:iCs/>
          <w:color w:val="000000" w:themeColor="text1"/>
        </w:rPr>
        <w:t>Independence of Commissioners</w:t>
      </w:r>
    </w:p>
    <w:p w:rsidR="006045AF" w:rsidRPr="005413D7" w:rsidRDefault="00EF7872" w:rsidP="00D4338B">
      <w:pPr>
        <w:ind w:right="-347"/>
        <w:jc w:val="both"/>
        <w:rPr>
          <w:rFonts w:ascii="Cambria" w:hAnsi="Cambria" w:cs="Arial"/>
          <w:color w:val="000000" w:themeColor="text1"/>
        </w:rPr>
      </w:pPr>
      <w:r w:rsidRPr="005413D7">
        <w:rPr>
          <w:rFonts w:ascii="Cambria" w:hAnsi="Cambria" w:cs="Arial"/>
          <w:color w:val="000000" w:themeColor="text1"/>
        </w:rPr>
        <w:t>Clause 14 of the Bill provides a degree of independence to the three Commissioners with its assurance that</w:t>
      </w:r>
      <w:r w:rsidR="00904567" w:rsidRPr="005413D7">
        <w:rPr>
          <w:rFonts w:ascii="Cambria" w:hAnsi="Cambria" w:cs="Arial"/>
          <w:color w:val="000000" w:themeColor="text1"/>
        </w:rPr>
        <w:t xml:space="preserve"> Commissioners </w:t>
      </w:r>
      <w:r w:rsidRPr="005413D7">
        <w:rPr>
          <w:rFonts w:ascii="Cambria" w:hAnsi="Cambria" w:cs="Arial"/>
          <w:color w:val="000000" w:themeColor="text1"/>
        </w:rPr>
        <w:t>“</w:t>
      </w:r>
      <w:r w:rsidR="00904567" w:rsidRPr="005413D7">
        <w:rPr>
          <w:rFonts w:ascii="Cambria" w:hAnsi="Cambria" w:cs="Arial"/>
          <w:color w:val="000000" w:themeColor="text1"/>
        </w:rPr>
        <w:t xml:space="preserve">are not subject to the direction or control of the Minister in respect of the performance of a function, or exercise of a power under this Act”. Nevertheless, </w:t>
      </w:r>
      <w:r w:rsidRPr="005413D7">
        <w:rPr>
          <w:rFonts w:ascii="Cambria" w:hAnsi="Cambria" w:cs="Arial"/>
          <w:color w:val="000000" w:themeColor="text1"/>
        </w:rPr>
        <w:t>another way in which independence can be assured is through security of tenure. We</w:t>
      </w:r>
      <w:r w:rsidR="006045AF" w:rsidRPr="005413D7">
        <w:rPr>
          <w:rFonts w:ascii="Cambria" w:hAnsi="Cambria" w:cs="Arial"/>
          <w:color w:val="000000" w:themeColor="text1"/>
        </w:rPr>
        <w:t xml:space="preserve"> </w:t>
      </w:r>
      <w:r w:rsidR="006045AF" w:rsidRPr="005413D7">
        <w:rPr>
          <w:rFonts w:ascii="Cambria" w:hAnsi="Cambria" w:cs="Arial"/>
          <w:color w:val="000000" w:themeColor="text1"/>
        </w:rPr>
        <w:lastRenderedPageBreak/>
        <w:t>strongly recommend that</w:t>
      </w:r>
      <w:r w:rsidRPr="005413D7">
        <w:rPr>
          <w:rFonts w:ascii="Cambria" w:hAnsi="Cambria" w:cs="Arial"/>
          <w:color w:val="000000" w:themeColor="text1"/>
        </w:rPr>
        <w:t xml:space="preserve"> there is express recognition of Commissioners</w:t>
      </w:r>
      <w:r w:rsidR="006045AF" w:rsidRPr="005413D7">
        <w:rPr>
          <w:rFonts w:ascii="Cambria" w:hAnsi="Cambria" w:cs="Arial"/>
          <w:color w:val="000000" w:themeColor="text1"/>
        </w:rPr>
        <w:t xml:space="preserve"> </w:t>
      </w:r>
      <w:r w:rsidRPr="005413D7">
        <w:rPr>
          <w:rFonts w:ascii="Cambria" w:hAnsi="Cambria" w:cs="Arial"/>
          <w:color w:val="000000" w:themeColor="text1"/>
        </w:rPr>
        <w:t xml:space="preserve">being </w:t>
      </w:r>
      <w:r w:rsidR="006045AF" w:rsidRPr="005413D7">
        <w:rPr>
          <w:rFonts w:ascii="Cambria" w:hAnsi="Cambria" w:cs="Arial"/>
          <w:color w:val="000000" w:themeColor="text1"/>
        </w:rPr>
        <w:t>appointed for 5 years rather than the current “not exceeding 5 years”.</w:t>
      </w:r>
      <w:r w:rsidR="00192C18" w:rsidRPr="005413D7">
        <w:rPr>
          <w:rStyle w:val="FootnoteReference"/>
          <w:rFonts w:ascii="Cambria" w:hAnsi="Cambria" w:cs="Arial"/>
          <w:color w:val="000000" w:themeColor="text1"/>
        </w:rPr>
        <w:footnoteReference w:id="12"/>
      </w:r>
      <w:r w:rsidRPr="005413D7">
        <w:rPr>
          <w:rFonts w:ascii="Cambria" w:hAnsi="Cambria" w:cs="Arial"/>
          <w:color w:val="000000" w:themeColor="text1"/>
        </w:rPr>
        <w:t xml:space="preserve"> </w:t>
      </w:r>
      <w:r w:rsidR="00C37CAB" w:rsidRPr="005413D7">
        <w:rPr>
          <w:rFonts w:ascii="Cambria" w:hAnsi="Cambria" w:cs="Arial"/>
          <w:color w:val="000000" w:themeColor="text1"/>
        </w:rPr>
        <w:t>In the event that this</w:t>
      </w:r>
      <w:r w:rsidRPr="005413D7">
        <w:rPr>
          <w:rFonts w:ascii="Cambria" w:hAnsi="Cambria" w:cs="Arial"/>
          <w:color w:val="000000" w:themeColor="text1"/>
        </w:rPr>
        <w:t xml:space="preserve"> amendment </w:t>
      </w:r>
      <w:r w:rsidR="00C37CAB" w:rsidRPr="005413D7">
        <w:rPr>
          <w:rFonts w:ascii="Cambria" w:hAnsi="Cambria" w:cs="Arial"/>
          <w:color w:val="000000" w:themeColor="text1"/>
        </w:rPr>
        <w:t xml:space="preserve">is not supported, we support the current limited number of circumstances </w:t>
      </w:r>
      <w:r w:rsidRPr="005413D7">
        <w:rPr>
          <w:rFonts w:ascii="Cambria" w:hAnsi="Cambria" w:cs="Arial"/>
          <w:color w:val="000000" w:themeColor="text1"/>
        </w:rPr>
        <w:t>warranting</w:t>
      </w:r>
      <w:r w:rsidR="00C37CAB" w:rsidRPr="005413D7">
        <w:rPr>
          <w:rFonts w:ascii="Cambria" w:hAnsi="Cambria" w:cs="Arial"/>
          <w:color w:val="000000" w:themeColor="text1"/>
        </w:rPr>
        <w:t xml:space="preserve"> the Commissioner</w:t>
      </w:r>
      <w:r w:rsidRPr="005413D7">
        <w:rPr>
          <w:rFonts w:ascii="Cambria" w:hAnsi="Cambria" w:cs="Arial"/>
          <w:color w:val="000000" w:themeColor="text1"/>
        </w:rPr>
        <w:t xml:space="preserve">’s employment </w:t>
      </w:r>
      <w:r w:rsidR="00C37CAB" w:rsidRPr="005413D7">
        <w:rPr>
          <w:rFonts w:ascii="Cambria" w:hAnsi="Cambria" w:cs="Arial"/>
          <w:color w:val="000000" w:themeColor="text1"/>
        </w:rPr>
        <w:t>being terminat</w:t>
      </w:r>
      <w:r w:rsidRPr="005413D7">
        <w:rPr>
          <w:rFonts w:ascii="Cambria" w:hAnsi="Cambria" w:cs="Arial"/>
          <w:color w:val="000000" w:themeColor="text1"/>
        </w:rPr>
        <w:t>ed</w:t>
      </w:r>
      <w:r w:rsidR="00C37CAB" w:rsidRPr="005413D7">
        <w:rPr>
          <w:rFonts w:ascii="Cambria" w:hAnsi="Cambria" w:cs="Arial"/>
          <w:color w:val="000000" w:themeColor="text1"/>
        </w:rPr>
        <w:t>.</w:t>
      </w:r>
      <w:r w:rsidR="009E703C" w:rsidRPr="005413D7">
        <w:rPr>
          <w:rStyle w:val="FootnoteReference"/>
          <w:rFonts w:ascii="Cambria" w:hAnsi="Cambria" w:cs="Arial"/>
          <w:color w:val="000000" w:themeColor="text1"/>
        </w:rPr>
        <w:footnoteReference w:id="13"/>
      </w:r>
      <w:r w:rsidR="00C37CAB" w:rsidRPr="005413D7">
        <w:rPr>
          <w:rFonts w:ascii="Cambria" w:hAnsi="Cambria" w:cs="Arial"/>
          <w:color w:val="000000" w:themeColor="text1"/>
        </w:rPr>
        <w:t xml:space="preserve">   </w:t>
      </w:r>
    </w:p>
    <w:p w:rsidR="00450F3B" w:rsidRPr="00E30B03" w:rsidRDefault="00450F3B" w:rsidP="00D4338B">
      <w:pPr>
        <w:ind w:right="-347"/>
        <w:jc w:val="both"/>
        <w:rPr>
          <w:rFonts w:ascii="Cambria" w:hAnsi="Cambria"/>
          <w:color w:val="FF0000"/>
        </w:rPr>
      </w:pPr>
    </w:p>
    <w:p w:rsidR="002A1653" w:rsidRPr="005413D7" w:rsidRDefault="009027E6" w:rsidP="002A1653">
      <w:pPr>
        <w:pStyle w:val="ListParagraph"/>
        <w:numPr>
          <w:ilvl w:val="0"/>
          <w:numId w:val="3"/>
        </w:numPr>
        <w:ind w:right="-347"/>
        <w:jc w:val="both"/>
        <w:rPr>
          <w:rFonts w:ascii="Cambria" w:hAnsi="Cambria" w:cs="Arial"/>
          <w:b/>
          <w:bCs/>
          <w:i/>
          <w:iCs/>
          <w:color w:val="000000" w:themeColor="text1"/>
        </w:rPr>
      </w:pPr>
      <w:r w:rsidRPr="005413D7">
        <w:rPr>
          <w:rFonts w:ascii="Cambria" w:hAnsi="Cambria" w:cs="Arial"/>
          <w:b/>
          <w:bCs/>
          <w:i/>
          <w:iCs/>
          <w:color w:val="000000" w:themeColor="text1"/>
        </w:rPr>
        <w:t>Independent Community Visitor Scheme</w:t>
      </w:r>
    </w:p>
    <w:p w:rsidR="00FC72FE" w:rsidRPr="005413D7" w:rsidRDefault="00F6538B" w:rsidP="00D4338B">
      <w:pPr>
        <w:ind w:right="-347"/>
        <w:jc w:val="both"/>
        <w:rPr>
          <w:rFonts w:ascii="Cambria" w:hAnsi="Cambria"/>
        </w:rPr>
      </w:pPr>
      <w:r w:rsidRPr="005413D7">
        <w:rPr>
          <w:rFonts w:ascii="Cambria" w:hAnsi="Cambria" w:cs="Arial"/>
          <w:color w:val="000000" w:themeColor="text1"/>
        </w:rPr>
        <w:t xml:space="preserve">The Commission of Inquiry recommended the establishment of an independent community visitor scheme for children in out of home care, youth detention and other residential youth justice facilities with responsibility to be administered by the Child Advocate. </w:t>
      </w:r>
      <w:r w:rsidR="00FC72FE" w:rsidRPr="005413D7">
        <w:rPr>
          <w:rFonts w:ascii="Cambria" w:hAnsi="Cambria" w:cs="Arial"/>
          <w:color w:val="000000" w:themeColor="text1"/>
        </w:rPr>
        <w:t>The purpose of the scheme is to “</w:t>
      </w:r>
      <w:r w:rsidR="00FC72FE" w:rsidRPr="005413D7">
        <w:rPr>
          <w:rFonts w:ascii="Cambria" w:hAnsi="Cambria"/>
        </w:rPr>
        <w:t>enable every child in care, youth detention or another residential youth justice facility to receive regular and frequent visits, and children in family-based care to be visited regularly or when they request a visit”.</w:t>
      </w:r>
      <w:r w:rsidR="00FC72FE" w:rsidRPr="005413D7">
        <w:rPr>
          <w:rStyle w:val="FootnoteReference"/>
          <w:rFonts w:ascii="Cambria" w:hAnsi="Cambria"/>
        </w:rPr>
        <w:footnoteReference w:id="14"/>
      </w:r>
      <w:r w:rsidR="000D6BA7" w:rsidRPr="005413D7">
        <w:rPr>
          <w:rFonts w:ascii="Cambria" w:hAnsi="Cambria"/>
        </w:rPr>
        <w:t xml:space="preserve"> When up and running the scheme will see community visitors appointed by the Child Advocate based on their skills, knowledge and expertise</w:t>
      </w:r>
      <w:r w:rsidR="00A27FB6" w:rsidRPr="005413D7">
        <w:rPr>
          <w:rFonts w:ascii="Cambria" w:hAnsi="Cambria"/>
        </w:rPr>
        <w:t xml:space="preserve"> with community visitors responsible for:</w:t>
      </w:r>
      <w:r w:rsidR="00A27FB6" w:rsidRPr="005413D7">
        <w:rPr>
          <w:rStyle w:val="FootnoteReference"/>
          <w:rFonts w:ascii="Cambria" w:hAnsi="Cambria"/>
        </w:rPr>
        <w:footnoteReference w:id="15"/>
      </w:r>
    </w:p>
    <w:p w:rsidR="00A27FB6" w:rsidRPr="005413D7" w:rsidRDefault="00A27FB6" w:rsidP="00D4338B">
      <w:pPr>
        <w:ind w:right="-347"/>
        <w:jc w:val="both"/>
        <w:rPr>
          <w:rFonts w:ascii="Cambria" w:hAnsi="Cambria"/>
        </w:rPr>
      </w:pPr>
    </w:p>
    <w:p w:rsidR="00225D5F" w:rsidRPr="005413D7" w:rsidRDefault="00A27FB6" w:rsidP="00225D5F">
      <w:pPr>
        <w:pStyle w:val="ListParagraph"/>
        <w:numPr>
          <w:ilvl w:val="0"/>
          <w:numId w:val="4"/>
        </w:numPr>
        <w:ind w:right="-347"/>
        <w:jc w:val="both"/>
        <w:rPr>
          <w:rFonts w:ascii="Cambria" w:hAnsi="Cambria"/>
          <w:i/>
          <w:iCs/>
          <w:sz w:val="23"/>
          <w:szCs w:val="23"/>
        </w:rPr>
      </w:pPr>
      <w:r w:rsidRPr="005413D7">
        <w:rPr>
          <w:rFonts w:ascii="Cambria" w:hAnsi="Cambria"/>
          <w:i/>
          <w:iCs/>
          <w:sz w:val="23"/>
          <w:szCs w:val="23"/>
        </w:rPr>
        <w:t xml:space="preserve">developing trusting and supportive relationships with children in out of home care, youth detention or other residential youth justice facilities </w:t>
      </w:r>
    </w:p>
    <w:p w:rsidR="00225D5F" w:rsidRPr="005413D7" w:rsidRDefault="00225D5F" w:rsidP="00225D5F">
      <w:pPr>
        <w:pStyle w:val="ListParagraph"/>
        <w:ind w:left="1080" w:right="-347"/>
        <w:jc w:val="both"/>
        <w:rPr>
          <w:rFonts w:ascii="Cambria" w:hAnsi="Cambria"/>
          <w:i/>
          <w:iCs/>
          <w:sz w:val="23"/>
          <w:szCs w:val="23"/>
        </w:rPr>
      </w:pPr>
    </w:p>
    <w:p w:rsidR="00225D5F" w:rsidRPr="005413D7" w:rsidRDefault="00225D5F" w:rsidP="00225D5F">
      <w:pPr>
        <w:pStyle w:val="ListParagraph"/>
        <w:numPr>
          <w:ilvl w:val="0"/>
          <w:numId w:val="4"/>
        </w:numPr>
        <w:ind w:right="-347"/>
        <w:jc w:val="both"/>
        <w:rPr>
          <w:rFonts w:ascii="Cambria" w:hAnsi="Cambria"/>
          <w:i/>
          <w:iCs/>
          <w:sz w:val="23"/>
          <w:szCs w:val="23"/>
        </w:rPr>
      </w:pPr>
      <w:r w:rsidRPr="005413D7">
        <w:rPr>
          <w:rFonts w:ascii="Cambria" w:hAnsi="Cambria"/>
          <w:i/>
          <w:iCs/>
          <w:sz w:val="23"/>
          <w:szCs w:val="23"/>
        </w:rPr>
        <w:t xml:space="preserve"> </w:t>
      </w:r>
      <w:r w:rsidR="00A27FB6" w:rsidRPr="005413D7">
        <w:rPr>
          <w:rFonts w:ascii="Cambria" w:hAnsi="Cambria"/>
          <w:i/>
          <w:iCs/>
          <w:sz w:val="23"/>
          <w:szCs w:val="23"/>
        </w:rPr>
        <w:t xml:space="preserve">advocating on behalf of children by listening to, giving voice to and helping to resolve their concerns and grievances </w:t>
      </w:r>
    </w:p>
    <w:p w:rsidR="00225D5F" w:rsidRPr="005413D7" w:rsidRDefault="00225D5F" w:rsidP="00225D5F">
      <w:pPr>
        <w:pStyle w:val="ListParagraph"/>
        <w:rPr>
          <w:rFonts w:ascii="Cambria" w:hAnsi="Cambria"/>
          <w:i/>
          <w:iCs/>
          <w:sz w:val="23"/>
          <w:szCs w:val="23"/>
        </w:rPr>
      </w:pPr>
    </w:p>
    <w:p w:rsidR="00225D5F" w:rsidRPr="005413D7" w:rsidRDefault="00A27FB6" w:rsidP="00225D5F">
      <w:pPr>
        <w:pStyle w:val="ListParagraph"/>
        <w:numPr>
          <w:ilvl w:val="0"/>
          <w:numId w:val="4"/>
        </w:numPr>
        <w:ind w:right="-347"/>
        <w:jc w:val="both"/>
        <w:rPr>
          <w:rFonts w:ascii="Cambria" w:hAnsi="Cambria"/>
          <w:i/>
          <w:iCs/>
          <w:sz w:val="23"/>
          <w:szCs w:val="23"/>
        </w:rPr>
      </w:pPr>
      <w:r w:rsidRPr="005413D7">
        <w:rPr>
          <w:rFonts w:ascii="Cambria" w:hAnsi="Cambria"/>
          <w:i/>
          <w:iCs/>
          <w:sz w:val="23"/>
          <w:szCs w:val="23"/>
        </w:rPr>
        <w:t xml:space="preserve">facilitating children’s access to support services </w:t>
      </w:r>
    </w:p>
    <w:p w:rsidR="00225D5F" w:rsidRPr="005413D7" w:rsidRDefault="00225D5F" w:rsidP="00225D5F">
      <w:pPr>
        <w:pStyle w:val="ListParagraph"/>
        <w:rPr>
          <w:rFonts w:ascii="Cambria" w:hAnsi="Cambria"/>
          <w:i/>
          <w:iCs/>
          <w:sz w:val="23"/>
          <w:szCs w:val="23"/>
        </w:rPr>
      </w:pPr>
    </w:p>
    <w:p w:rsidR="00A27FB6" w:rsidRPr="005413D7" w:rsidRDefault="00A27FB6" w:rsidP="00225D5F">
      <w:pPr>
        <w:pStyle w:val="ListParagraph"/>
        <w:numPr>
          <w:ilvl w:val="0"/>
          <w:numId w:val="4"/>
        </w:numPr>
        <w:ind w:right="-347"/>
        <w:jc w:val="both"/>
        <w:rPr>
          <w:rFonts w:ascii="Cambria" w:hAnsi="Cambria"/>
          <w:i/>
          <w:iCs/>
          <w:sz w:val="23"/>
          <w:szCs w:val="23"/>
        </w:rPr>
      </w:pPr>
      <w:r w:rsidRPr="005413D7">
        <w:rPr>
          <w:rFonts w:ascii="Cambria" w:hAnsi="Cambria"/>
          <w:i/>
          <w:iCs/>
          <w:sz w:val="23"/>
          <w:szCs w:val="23"/>
        </w:rPr>
        <w:t>inquiring about and reporting on children’s physical and emotional wellbeing e. inquiring about whether children’s needs are being met.</w:t>
      </w:r>
    </w:p>
    <w:p w:rsidR="000D6BA7" w:rsidRPr="005413D7" w:rsidRDefault="000D6BA7" w:rsidP="00D4338B">
      <w:pPr>
        <w:ind w:right="-347"/>
        <w:jc w:val="both"/>
        <w:rPr>
          <w:rFonts w:ascii="Cambria" w:hAnsi="Cambria"/>
        </w:rPr>
      </w:pPr>
    </w:p>
    <w:p w:rsidR="005413D7" w:rsidRPr="005413D7" w:rsidRDefault="00225D5F" w:rsidP="00E412C8">
      <w:pPr>
        <w:ind w:right="-347"/>
        <w:jc w:val="both"/>
        <w:rPr>
          <w:rFonts w:ascii="Cambria" w:hAnsi="Cambria" w:cs="Arial"/>
          <w:color w:val="000000" w:themeColor="text1"/>
        </w:rPr>
      </w:pPr>
      <w:r w:rsidRPr="005413D7">
        <w:rPr>
          <w:rFonts w:ascii="Cambria" w:hAnsi="Cambria" w:cs="Arial"/>
          <w:color w:val="000000" w:themeColor="text1"/>
        </w:rPr>
        <w:t xml:space="preserve">The Government is committed to the </w:t>
      </w:r>
      <w:r w:rsidRPr="005413D7">
        <w:rPr>
          <w:rFonts w:ascii="Cambria" w:hAnsi="Cambria" w:cs="Segoe UI"/>
          <w:color w:val="212529"/>
        </w:rPr>
        <w:t>Commissioners for Aboriginal Children and Young People and the Child Advocate being implemented by July 2026 and the independent community visitor scheme to be implemented by 1 July 2029.</w:t>
      </w:r>
      <w:r w:rsidRPr="005413D7">
        <w:rPr>
          <w:rStyle w:val="FootnoteReference"/>
          <w:rFonts w:ascii="Cambria" w:hAnsi="Cambria" w:cs="Segoe UI"/>
          <w:color w:val="212529"/>
        </w:rPr>
        <w:footnoteReference w:id="16"/>
      </w:r>
      <w:r w:rsidRPr="005413D7">
        <w:rPr>
          <w:rFonts w:ascii="Cambria" w:hAnsi="Cambria" w:cs="Segoe UI"/>
          <w:color w:val="212529"/>
        </w:rPr>
        <w:t xml:space="preserve"> In our opinion, both of these timeframes should be brought forward. </w:t>
      </w:r>
    </w:p>
    <w:p w:rsidR="008C478E" w:rsidRDefault="008C478E" w:rsidP="00E412C8">
      <w:pPr>
        <w:ind w:right="-347"/>
        <w:jc w:val="both"/>
        <w:rPr>
          <w:rFonts w:ascii="Cambria" w:hAnsi="Cambria" w:cs="Arial"/>
          <w:color w:val="000000" w:themeColor="text1"/>
        </w:rPr>
      </w:pPr>
    </w:p>
    <w:p w:rsidR="00E412C8" w:rsidRPr="005413D7" w:rsidRDefault="00E412C8" w:rsidP="00E412C8">
      <w:pPr>
        <w:ind w:right="-347"/>
        <w:jc w:val="both"/>
        <w:rPr>
          <w:rFonts w:ascii="Cambria" w:hAnsi="Cambria" w:cs="Arial"/>
          <w:color w:val="000000" w:themeColor="text1"/>
        </w:rPr>
      </w:pPr>
      <w:r w:rsidRPr="005413D7">
        <w:rPr>
          <w:rFonts w:ascii="Cambria" w:hAnsi="Cambria" w:cs="Arial"/>
          <w:color w:val="000000" w:themeColor="text1"/>
        </w:rPr>
        <w:t xml:space="preserve">If you have any queries, or we can be of any further assistance, please do not hesitate to contact us. </w:t>
      </w:r>
    </w:p>
    <w:p w:rsidR="00D4338B" w:rsidRPr="005413D7" w:rsidRDefault="00D4338B" w:rsidP="00D4338B">
      <w:pPr>
        <w:shd w:val="clear" w:color="auto" w:fill="FFFFFF"/>
        <w:ind w:right="-347"/>
        <w:jc w:val="both"/>
        <w:rPr>
          <w:rFonts w:ascii="Cambria" w:hAnsi="Cambria"/>
          <w:bCs/>
          <w:color w:val="000000" w:themeColor="text1"/>
        </w:rPr>
      </w:pPr>
    </w:p>
    <w:p w:rsidR="00697396" w:rsidRDefault="00697396" w:rsidP="00D4338B">
      <w:pPr>
        <w:shd w:val="clear" w:color="auto" w:fill="FFFFFF"/>
        <w:ind w:right="-347"/>
        <w:jc w:val="both"/>
        <w:rPr>
          <w:rFonts w:ascii="Cambria" w:hAnsi="Cambria"/>
          <w:bCs/>
          <w:color w:val="000000" w:themeColor="text1"/>
        </w:rPr>
      </w:pPr>
    </w:p>
    <w:p w:rsidR="00D4338B" w:rsidRPr="005413D7" w:rsidRDefault="00D4338B" w:rsidP="00D4338B">
      <w:pPr>
        <w:shd w:val="clear" w:color="auto" w:fill="FFFFFF"/>
        <w:ind w:right="-347"/>
        <w:jc w:val="both"/>
        <w:rPr>
          <w:rFonts w:ascii="Cambria" w:hAnsi="Cambria"/>
          <w:bCs/>
          <w:color w:val="000000" w:themeColor="text1"/>
        </w:rPr>
      </w:pPr>
      <w:r w:rsidRPr="005413D7">
        <w:rPr>
          <w:rFonts w:ascii="Cambria" w:hAnsi="Cambria"/>
          <w:bCs/>
          <w:color w:val="000000" w:themeColor="text1"/>
        </w:rPr>
        <w:t>Yours faithfully,</w:t>
      </w:r>
    </w:p>
    <w:p w:rsidR="00D4338B" w:rsidRPr="005413D7" w:rsidRDefault="00D4338B" w:rsidP="00D4338B">
      <w:pPr>
        <w:shd w:val="clear" w:color="auto" w:fill="FFFFFF"/>
        <w:ind w:right="-347"/>
        <w:jc w:val="both"/>
        <w:rPr>
          <w:rFonts w:ascii="Cambria" w:hAnsi="Cambria"/>
          <w:bCs/>
          <w:color w:val="000000" w:themeColor="text1"/>
        </w:rPr>
      </w:pPr>
    </w:p>
    <w:p w:rsidR="00D4338B" w:rsidRDefault="00D4338B" w:rsidP="00D4338B">
      <w:pPr>
        <w:shd w:val="clear" w:color="auto" w:fill="FFFFFF"/>
        <w:ind w:right="-347"/>
        <w:jc w:val="both"/>
        <w:rPr>
          <w:rFonts w:ascii="Cambria" w:hAnsi="Cambria"/>
          <w:bCs/>
          <w:color w:val="000000" w:themeColor="text1"/>
        </w:rPr>
      </w:pPr>
    </w:p>
    <w:p w:rsidR="005413D7" w:rsidRPr="005413D7" w:rsidRDefault="005413D7" w:rsidP="00D4338B">
      <w:pPr>
        <w:shd w:val="clear" w:color="auto" w:fill="FFFFFF"/>
        <w:ind w:right="-347"/>
        <w:jc w:val="both"/>
        <w:rPr>
          <w:rFonts w:ascii="Cambria" w:hAnsi="Cambria"/>
          <w:bCs/>
          <w:color w:val="000000" w:themeColor="text1"/>
        </w:rPr>
      </w:pPr>
    </w:p>
    <w:p w:rsidR="00D4338B" w:rsidRPr="005413D7" w:rsidRDefault="00D4338B" w:rsidP="00D4338B">
      <w:pPr>
        <w:shd w:val="clear" w:color="auto" w:fill="FFFFFF"/>
        <w:ind w:right="-347"/>
        <w:jc w:val="both"/>
        <w:rPr>
          <w:rFonts w:ascii="Cambria" w:hAnsi="Cambria"/>
          <w:bCs/>
          <w:color w:val="000000" w:themeColor="text1"/>
        </w:rPr>
      </w:pPr>
      <w:r w:rsidRPr="005413D7">
        <w:rPr>
          <w:rFonts w:ascii="Cambria" w:hAnsi="Cambria"/>
          <w:bCs/>
          <w:color w:val="000000" w:themeColor="text1"/>
        </w:rPr>
        <w:t xml:space="preserve">Benedict </w:t>
      </w:r>
      <w:proofErr w:type="spellStart"/>
      <w:r w:rsidRPr="005413D7">
        <w:rPr>
          <w:rFonts w:ascii="Cambria" w:hAnsi="Cambria"/>
          <w:bCs/>
          <w:color w:val="000000" w:themeColor="text1"/>
        </w:rPr>
        <w:t>Bartl</w:t>
      </w:r>
      <w:proofErr w:type="spellEnd"/>
    </w:p>
    <w:p w:rsidR="00D4338B" w:rsidRPr="005413D7" w:rsidRDefault="00D4338B" w:rsidP="00D4338B">
      <w:pPr>
        <w:shd w:val="clear" w:color="auto" w:fill="FFFFFF"/>
        <w:ind w:right="-347"/>
        <w:jc w:val="both"/>
        <w:rPr>
          <w:rFonts w:ascii="Cambria" w:hAnsi="Cambria"/>
          <w:bCs/>
          <w:color w:val="000000" w:themeColor="text1"/>
        </w:rPr>
      </w:pPr>
      <w:r w:rsidRPr="005413D7">
        <w:rPr>
          <w:rFonts w:ascii="Cambria" w:hAnsi="Cambria"/>
          <w:bCs/>
          <w:color w:val="000000" w:themeColor="text1"/>
        </w:rPr>
        <w:t>Policy Officer</w:t>
      </w:r>
    </w:p>
    <w:p w:rsidR="00D12E01" w:rsidRPr="005413D7" w:rsidRDefault="00D4338B" w:rsidP="005413D7">
      <w:pPr>
        <w:pBdr>
          <w:bottom w:val="single" w:sz="6" w:space="1" w:color="auto"/>
        </w:pBdr>
        <w:shd w:val="clear" w:color="auto" w:fill="FFFFFF"/>
        <w:ind w:right="-347"/>
        <w:jc w:val="both"/>
        <w:rPr>
          <w:rFonts w:ascii="Cambria" w:hAnsi="Cambria"/>
          <w:b/>
          <w:bCs/>
          <w:color w:val="000000" w:themeColor="text1"/>
        </w:rPr>
      </w:pPr>
      <w:r w:rsidRPr="005413D7">
        <w:rPr>
          <w:rFonts w:ascii="Cambria" w:hAnsi="Cambria"/>
          <w:b/>
          <w:bCs/>
          <w:color w:val="000000" w:themeColor="text1"/>
        </w:rPr>
        <w:t>Community Legal Centres Tasmania</w:t>
      </w:r>
    </w:p>
    <w:sectPr w:rsidR="00D12E01" w:rsidRPr="005413D7" w:rsidSect="00FE7D54">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55A5" w:rsidRDefault="00CC55A5" w:rsidP="00D4338B">
      <w:r>
        <w:separator/>
      </w:r>
    </w:p>
  </w:endnote>
  <w:endnote w:type="continuationSeparator" w:id="0">
    <w:p w:rsidR="00CC55A5" w:rsidRDefault="00CC55A5" w:rsidP="00D4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534531"/>
      <w:docPartObj>
        <w:docPartGallery w:val="Page Numbers (Bottom of Page)"/>
        <w:docPartUnique/>
      </w:docPartObj>
    </w:sdtPr>
    <w:sdtContent>
      <w:p w:rsidR="003025AC" w:rsidRDefault="00000000" w:rsidP="00262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025AC" w:rsidRDefault="003025AC" w:rsidP="00956E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851165"/>
      <w:docPartObj>
        <w:docPartGallery w:val="Page Numbers (Bottom of Page)"/>
        <w:docPartUnique/>
      </w:docPartObj>
    </w:sdtPr>
    <w:sdtContent>
      <w:p w:rsidR="003025AC" w:rsidRDefault="00000000" w:rsidP="00262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025AC" w:rsidRDefault="003025AC" w:rsidP="00956E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55A5" w:rsidRDefault="00CC55A5" w:rsidP="00D4338B">
      <w:r>
        <w:separator/>
      </w:r>
    </w:p>
  </w:footnote>
  <w:footnote w:type="continuationSeparator" w:id="0">
    <w:p w:rsidR="00CC55A5" w:rsidRDefault="00CC55A5" w:rsidP="00D4338B">
      <w:r>
        <w:continuationSeparator/>
      </w:r>
    </w:p>
  </w:footnote>
  <w:footnote w:id="1">
    <w:p w:rsidR="00D4338B" w:rsidRPr="00CE1C25" w:rsidRDefault="00D4338B" w:rsidP="00D4338B">
      <w:pPr>
        <w:pStyle w:val="FootnoteText"/>
        <w:rPr>
          <w:rFonts w:ascii="Cambria" w:hAnsi="Cambria"/>
          <w:sz w:val="20"/>
          <w:szCs w:val="20"/>
        </w:rPr>
      </w:pPr>
      <w:r w:rsidRPr="00CE1C25">
        <w:rPr>
          <w:rStyle w:val="FootnoteReference"/>
          <w:rFonts w:ascii="Cambria" w:hAnsi="Cambria"/>
          <w:sz w:val="20"/>
          <w:szCs w:val="20"/>
        </w:rPr>
        <w:footnoteRef/>
      </w:r>
      <w:r w:rsidRPr="00CE1C25">
        <w:rPr>
          <w:rFonts w:ascii="Cambria" w:hAnsi="Cambria"/>
          <w:sz w:val="20"/>
          <w:szCs w:val="20"/>
        </w:rPr>
        <w:t xml:space="preserve"> CLC Tas would like to acknowledge those persons and organisations who gave freely of their time in assisting with our submission. </w:t>
      </w:r>
    </w:p>
  </w:footnote>
  <w:footnote w:id="2">
    <w:p w:rsidR="00845869" w:rsidRPr="00CE1C25" w:rsidRDefault="00845869" w:rsidP="00845869">
      <w:pPr>
        <w:pStyle w:val="FootnoteText"/>
        <w:rPr>
          <w:rFonts w:ascii="Cambria" w:hAnsi="Cambria"/>
          <w:sz w:val="20"/>
          <w:szCs w:val="20"/>
        </w:rPr>
      </w:pPr>
      <w:r w:rsidRPr="00CE1C25">
        <w:rPr>
          <w:rStyle w:val="FootnoteReference"/>
          <w:rFonts w:ascii="Cambria" w:hAnsi="Cambria"/>
          <w:sz w:val="20"/>
          <w:szCs w:val="20"/>
        </w:rPr>
        <w:footnoteRef/>
      </w:r>
      <w:r w:rsidRPr="00CE1C25">
        <w:rPr>
          <w:rFonts w:ascii="Cambria" w:hAnsi="Cambria"/>
          <w:sz w:val="20"/>
          <w:szCs w:val="20"/>
        </w:rPr>
        <w:t xml:space="preserve"> </w:t>
      </w:r>
      <w:r w:rsidRPr="00CE1C25">
        <w:rPr>
          <w:rFonts w:ascii="Cambria" w:hAnsi="Cambria" w:cs="Calibri"/>
          <w:i/>
          <w:iCs/>
          <w:color w:val="000000" w:themeColor="text1"/>
          <w:sz w:val="20"/>
          <w:szCs w:val="20"/>
        </w:rPr>
        <w:t>Commission of Inquiry into the Tasmanian Government’s Responses to Child Sexual Abuse in Institutional Settings</w:t>
      </w:r>
      <w:r w:rsidRPr="00CE1C25">
        <w:rPr>
          <w:rFonts w:ascii="Cambria" w:hAnsi="Cambria" w:cs="Calibri"/>
          <w:color w:val="000000" w:themeColor="text1"/>
          <w:sz w:val="20"/>
          <w:szCs w:val="20"/>
        </w:rPr>
        <w:t xml:space="preserve"> (</w:t>
      </w:r>
      <w:r w:rsidR="008C478E">
        <w:rPr>
          <w:rFonts w:ascii="Cambria" w:hAnsi="Cambria" w:cs="Calibri"/>
          <w:color w:val="000000" w:themeColor="text1"/>
          <w:sz w:val="20"/>
          <w:szCs w:val="20"/>
        </w:rPr>
        <w:t>August</w:t>
      </w:r>
      <w:r w:rsidRPr="00CE1C25">
        <w:rPr>
          <w:rFonts w:ascii="Cambria" w:hAnsi="Cambria" w:cs="Calibri"/>
          <w:color w:val="000000" w:themeColor="text1"/>
          <w:sz w:val="20"/>
          <w:szCs w:val="20"/>
        </w:rPr>
        <w:t xml:space="preserve"> 202</w:t>
      </w:r>
      <w:r w:rsidR="008C478E">
        <w:rPr>
          <w:rFonts w:ascii="Cambria" w:hAnsi="Cambria" w:cs="Calibri"/>
          <w:color w:val="000000" w:themeColor="text1"/>
          <w:sz w:val="20"/>
          <w:szCs w:val="20"/>
        </w:rPr>
        <w:t>3</w:t>
      </w:r>
      <w:r w:rsidRPr="00CE1C25">
        <w:rPr>
          <w:rFonts w:ascii="Cambria" w:hAnsi="Cambria" w:cs="Calibri"/>
          <w:color w:val="000000" w:themeColor="text1"/>
          <w:sz w:val="20"/>
          <w:szCs w:val="20"/>
        </w:rPr>
        <w:t>) at 9.</w:t>
      </w:r>
    </w:p>
  </w:footnote>
  <w:footnote w:id="3">
    <w:p w:rsidR="005118AB" w:rsidRPr="00CE1C25" w:rsidRDefault="005118AB">
      <w:pPr>
        <w:pStyle w:val="FootnoteText"/>
        <w:rPr>
          <w:rFonts w:ascii="Cambria" w:hAnsi="Cambria"/>
          <w:sz w:val="20"/>
          <w:szCs w:val="20"/>
        </w:rPr>
      </w:pPr>
      <w:r w:rsidRPr="00CE1C25">
        <w:rPr>
          <w:rStyle w:val="FootnoteReference"/>
          <w:rFonts w:ascii="Cambria" w:hAnsi="Cambria"/>
          <w:sz w:val="20"/>
          <w:szCs w:val="20"/>
        </w:rPr>
        <w:footnoteRef/>
      </w:r>
      <w:r w:rsidRPr="00CE1C25">
        <w:rPr>
          <w:rFonts w:ascii="Cambria" w:hAnsi="Cambria"/>
          <w:sz w:val="20"/>
          <w:szCs w:val="20"/>
        </w:rPr>
        <w:t xml:space="preserve"> </w:t>
      </w:r>
      <w:r w:rsidR="005413D7">
        <w:rPr>
          <w:rFonts w:ascii="Cambria" w:hAnsi="Cambria" w:cs="Calibri"/>
          <w:color w:val="000000" w:themeColor="text1"/>
          <w:sz w:val="20"/>
          <w:szCs w:val="20"/>
        </w:rPr>
        <w:t xml:space="preserve">Ibid </w:t>
      </w:r>
      <w:r w:rsidRPr="00CE1C25">
        <w:rPr>
          <w:rFonts w:ascii="Cambria" w:hAnsi="Cambria" w:cs="Calibri"/>
          <w:color w:val="000000" w:themeColor="text1"/>
          <w:sz w:val="20"/>
          <w:szCs w:val="20"/>
        </w:rPr>
        <w:t>at 9.</w:t>
      </w:r>
    </w:p>
  </w:footnote>
  <w:footnote w:id="4">
    <w:p w:rsidR="005118AB" w:rsidRPr="00E35446" w:rsidRDefault="005118AB">
      <w:pPr>
        <w:pStyle w:val="FootnoteText"/>
        <w:rPr>
          <w:rFonts w:ascii="Cambria" w:hAnsi="Cambria"/>
          <w:sz w:val="20"/>
          <w:szCs w:val="20"/>
        </w:rPr>
      </w:pPr>
      <w:r w:rsidRPr="00E35446">
        <w:rPr>
          <w:rStyle w:val="FootnoteReference"/>
          <w:rFonts w:ascii="Cambria" w:hAnsi="Cambria"/>
          <w:sz w:val="20"/>
          <w:szCs w:val="20"/>
        </w:rPr>
        <w:footnoteRef/>
      </w:r>
      <w:r w:rsidRPr="00E35446">
        <w:rPr>
          <w:rFonts w:ascii="Cambria" w:hAnsi="Cambria"/>
          <w:sz w:val="20"/>
          <w:szCs w:val="20"/>
        </w:rPr>
        <w:t xml:space="preserve"> </w:t>
      </w:r>
      <w:r w:rsidR="005413D7">
        <w:rPr>
          <w:rFonts w:ascii="Cambria" w:hAnsi="Cambria" w:cs="Calibri"/>
          <w:color w:val="000000" w:themeColor="text1"/>
          <w:sz w:val="20"/>
          <w:szCs w:val="20"/>
        </w:rPr>
        <w:t>Ibid</w:t>
      </w:r>
      <w:r w:rsidRPr="00E35446">
        <w:rPr>
          <w:rFonts w:ascii="Cambria" w:hAnsi="Cambria" w:cs="Calibri"/>
          <w:color w:val="000000" w:themeColor="text1"/>
          <w:sz w:val="20"/>
          <w:szCs w:val="20"/>
        </w:rPr>
        <w:t xml:space="preserve"> at 10.</w:t>
      </w:r>
    </w:p>
  </w:footnote>
  <w:footnote w:id="5">
    <w:p w:rsidR="00FC6869" w:rsidRPr="00EF7872" w:rsidRDefault="00FC6869">
      <w:pPr>
        <w:pStyle w:val="FootnoteText"/>
        <w:rPr>
          <w:rFonts w:ascii="Cambria" w:hAnsi="Cambria"/>
          <w:sz w:val="20"/>
          <w:szCs w:val="20"/>
        </w:rPr>
      </w:pPr>
      <w:r w:rsidRPr="00EF7872">
        <w:rPr>
          <w:rStyle w:val="FootnoteReference"/>
          <w:rFonts w:ascii="Cambria" w:hAnsi="Cambria"/>
          <w:sz w:val="20"/>
          <w:szCs w:val="20"/>
        </w:rPr>
        <w:footnoteRef/>
      </w:r>
      <w:r w:rsidRPr="00EF7872">
        <w:rPr>
          <w:rFonts w:ascii="Cambria" w:hAnsi="Cambria"/>
          <w:sz w:val="20"/>
          <w:szCs w:val="20"/>
        </w:rPr>
        <w:t xml:space="preserve"> </w:t>
      </w:r>
      <w:r w:rsidR="005413D7">
        <w:rPr>
          <w:rFonts w:ascii="Cambria" w:hAnsi="Cambria" w:cs="Calibri"/>
          <w:color w:val="000000" w:themeColor="text1"/>
          <w:sz w:val="20"/>
          <w:szCs w:val="20"/>
        </w:rPr>
        <w:t>Ibid</w:t>
      </w:r>
      <w:r w:rsidRPr="00EF7872">
        <w:rPr>
          <w:rFonts w:ascii="Cambria" w:hAnsi="Cambria" w:cs="Calibri"/>
          <w:color w:val="000000" w:themeColor="text1"/>
          <w:sz w:val="20"/>
          <w:szCs w:val="20"/>
        </w:rPr>
        <w:t xml:space="preserve"> at 46.</w:t>
      </w:r>
    </w:p>
  </w:footnote>
  <w:footnote w:id="6">
    <w:p w:rsidR="005413D7" w:rsidRPr="005413D7" w:rsidRDefault="005413D7">
      <w:pPr>
        <w:pStyle w:val="FootnoteText"/>
        <w:rPr>
          <w:rFonts w:ascii="Cambria" w:hAnsi="Cambria"/>
          <w:sz w:val="20"/>
          <w:szCs w:val="20"/>
        </w:rPr>
      </w:pPr>
      <w:r w:rsidRPr="005413D7">
        <w:rPr>
          <w:rStyle w:val="FootnoteReference"/>
          <w:rFonts w:ascii="Cambria" w:hAnsi="Cambria"/>
          <w:sz w:val="20"/>
          <w:szCs w:val="20"/>
        </w:rPr>
        <w:footnoteRef/>
      </w:r>
      <w:r w:rsidRPr="005413D7">
        <w:rPr>
          <w:rFonts w:ascii="Cambria" w:hAnsi="Cambria"/>
          <w:sz w:val="20"/>
          <w:szCs w:val="20"/>
        </w:rPr>
        <w:t xml:space="preserve"> Ibid, Recommendation 9.33. </w:t>
      </w:r>
    </w:p>
  </w:footnote>
  <w:footnote w:id="7">
    <w:p w:rsidR="00FC6869" w:rsidRPr="00EF7872" w:rsidRDefault="00FC6869" w:rsidP="00FC6869">
      <w:pPr>
        <w:pStyle w:val="FootnoteText"/>
        <w:rPr>
          <w:rFonts w:ascii="Cambria" w:hAnsi="Cambria"/>
          <w:sz w:val="20"/>
          <w:szCs w:val="20"/>
        </w:rPr>
      </w:pPr>
      <w:r w:rsidRPr="00EF7872">
        <w:rPr>
          <w:rStyle w:val="FootnoteReference"/>
          <w:rFonts w:ascii="Cambria" w:hAnsi="Cambria"/>
          <w:sz w:val="20"/>
          <w:szCs w:val="20"/>
        </w:rPr>
        <w:footnoteRef/>
      </w:r>
      <w:r w:rsidRPr="00EF7872">
        <w:rPr>
          <w:rFonts w:ascii="Cambria" w:hAnsi="Cambria"/>
          <w:sz w:val="20"/>
          <w:szCs w:val="20"/>
        </w:rPr>
        <w:t xml:space="preserve"> </w:t>
      </w:r>
      <w:r w:rsidR="005413D7">
        <w:rPr>
          <w:rFonts w:ascii="Cambria" w:hAnsi="Cambria" w:cs="Calibri"/>
          <w:color w:val="000000" w:themeColor="text1"/>
          <w:sz w:val="20"/>
          <w:szCs w:val="20"/>
        </w:rPr>
        <w:t>Ibid</w:t>
      </w:r>
      <w:r w:rsidRPr="00EF7872">
        <w:rPr>
          <w:rFonts w:ascii="Cambria" w:hAnsi="Cambria" w:cs="Calibri"/>
          <w:color w:val="000000" w:themeColor="text1"/>
          <w:sz w:val="20"/>
          <w:szCs w:val="20"/>
        </w:rPr>
        <w:t xml:space="preserve"> at 58.</w:t>
      </w:r>
    </w:p>
  </w:footnote>
  <w:footnote w:id="8">
    <w:p w:rsidR="005D5D47" w:rsidRPr="00EF7872" w:rsidRDefault="005D5D47">
      <w:pPr>
        <w:pStyle w:val="FootnoteText"/>
        <w:rPr>
          <w:rFonts w:ascii="Cambria" w:hAnsi="Cambria"/>
          <w:sz w:val="20"/>
          <w:szCs w:val="20"/>
        </w:rPr>
      </w:pPr>
      <w:r w:rsidRPr="00EF7872">
        <w:rPr>
          <w:rStyle w:val="FootnoteReference"/>
          <w:rFonts w:ascii="Cambria" w:hAnsi="Cambria"/>
          <w:sz w:val="20"/>
          <w:szCs w:val="20"/>
        </w:rPr>
        <w:footnoteRef/>
      </w:r>
      <w:r w:rsidRPr="00EF7872">
        <w:rPr>
          <w:rFonts w:ascii="Cambria" w:hAnsi="Cambria"/>
          <w:sz w:val="20"/>
          <w:szCs w:val="20"/>
        </w:rPr>
        <w:t xml:space="preserve"> </w:t>
      </w:r>
      <w:proofErr w:type="spellStart"/>
      <w:r w:rsidRPr="00EF7872">
        <w:rPr>
          <w:rFonts w:ascii="Cambria" w:hAnsi="Cambria"/>
          <w:sz w:val="20"/>
          <w:szCs w:val="20"/>
        </w:rPr>
        <w:t>Yoorrook</w:t>
      </w:r>
      <w:proofErr w:type="spellEnd"/>
      <w:r w:rsidRPr="00EF7872">
        <w:rPr>
          <w:rFonts w:ascii="Cambria" w:hAnsi="Cambria"/>
          <w:sz w:val="20"/>
          <w:szCs w:val="20"/>
        </w:rPr>
        <w:t xml:space="preserve"> Justice Commission, </w:t>
      </w:r>
      <w:proofErr w:type="spellStart"/>
      <w:r w:rsidRPr="00EF7872">
        <w:rPr>
          <w:rFonts w:ascii="Cambria" w:hAnsi="Cambria"/>
          <w:i/>
          <w:iCs/>
          <w:sz w:val="20"/>
          <w:szCs w:val="20"/>
        </w:rPr>
        <w:t>Yoorrook</w:t>
      </w:r>
      <w:proofErr w:type="spellEnd"/>
      <w:r w:rsidRPr="00EF7872">
        <w:rPr>
          <w:rFonts w:ascii="Cambria" w:hAnsi="Cambria"/>
          <w:i/>
          <w:iCs/>
          <w:sz w:val="20"/>
          <w:szCs w:val="20"/>
        </w:rPr>
        <w:t xml:space="preserve"> for Justice: Report into Victoria’s Child Protection and Criminal Justice Systems</w:t>
      </w:r>
      <w:r w:rsidRPr="00EF7872">
        <w:rPr>
          <w:rFonts w:ascii="Cambria" w:hAnsi="Cambria"/>
          <w:sz w:val="20"/>
          <w:szCs w:val="20"/>
        </w:rPr>
        <w:t xml:space="preserve"> (2023) at </w:t>
      </w:r>
      <w:r w:rsidRPr="00EF7872">
        <w:rPr>
          <w:rFonts w:ascii="Cambria" w:hAnsi="Cambria"/>
          <w:color w:val="000000"/>
          <w:sz w:val="20"/>
          <w:szCs w:val="20"/>
        </w:rPr>
        <w:t>119-121.</w:t>
      </w:r>
    </w:p>
  </w:footnote>
  <w:footnote w:id="9">
    <w:p w:rsidR="00C15907" w:rsidRPr="00EF7872" w:rsidRDefault="00C15907">
      <w:pPr>
        <w:pStyle w:val="FootnoteText"/>
        <w:rPr>
          <w:rFonts w:ascii="Cambria" w:hAnsi="Cambria"/>
          <w:sz w:val="20"/>
          <w:szCs w:val="20"/>
        </w:rPr>
      </w:pPr>
      <w:r w:rsidRPr="00EF7872">
        <w:rPr>
          <w:rStyle w:val="FootnoteReference"/>
          <w:rFonts w:ascii="Cambria" w:hAnsi="Cambria"/>
          <w:sz w:val="20"/>
          <w:szCs w:val="20"/>
        </w:rPr>
        <w:footnoteRef/>
      </w:r>
      <w:r w:rsidRPr="00EF7872">
        <w:rPr>
          <w:rFonts w:ascii="Cambria" w:hAnsi="Cambria"/>
          <w:sz w:val="20"/>
          <w:szCs w:val="20"/>
        </w:rPr>
        <w:t xml:space="preserve"> </w:t>
      </w:r>
      <w:r w:rsidR="008C478E" w:rsidRPr="00CE1C25">
        <w:rPr>
          <w:rFonts w:ascii="Cambria" w:hAnsi="Cambria" w:cs="Calibri"/>
          <w:i/>
          <w:iCs/>
          <w:color w:val="000000" w:themeColor="text1"/>
          <w:sz w:val="20"/>
          <w:szCs w:val="20"/>
        </w:rPr>
        <w:t>Commission of Inquiry into the Tasmanian Government’s Responses to Child Sexual Abuse in Institutional Settings</w:t>
      </w:r>
      <w:r w:rsidR="008C478E" w:rsidRPr="00CE1C25">
        <w:rPr>
          <w:rFonts w:ascii="Cambria" w:hAnsi="Cambria" w:cs="Calibri"/>
          <w:color w:val="000000" w:themeColor="text1"/>
          <w:sz w:val="20"/>
          <w:szCs w:val="20"/>
        </w:rPr>
        <w:t xml:space="preserve"> (</w:t>
      </w:r>
      <w:r w:rsidR="008C478E">
        <w:rPr>
          <w:rFonts w:ascii="Cambria" w:hAnsi="Cambria" w:cs="Calibri"/>
          <w:color w:val="000000" w:themeColor="text1"/>
          <w:sz w:val="20"/>
          <w:szCs w:val="20"/>
        </w:rPr>
        <w:t>August</w:t>
      </w:r>
      <w:r w:rsidR="008C478E" w:rsidRPr="00CE1C25">
        <w:rPr>
          <w:rFonts w:ascii="Cambria" w:hAnsi="Cambria" w:cs="Calibri"/>
          <w:color w:val="000000" w:themeColor="text1"/>
          <w:sz w:val="20"/>
          <w:szCs w:val="20"/>
        </w:rPr>
        <w:t xml:space="preserve"> 202</w:t>
      </w:r>
      <w:r w:rsidR="008C478E">
        <w:rPr>
          <w:rFonts w:ascii="Cambria" w:hAnsi="Cambria" w:cs="Calibri"/>
          <w:color w:val="000000" w:themeColor="text1"/>
          <w:sz w:val="20"/>
          <w:szCs w:val="20"/>
        </w:rPr>
        <w:t>3</w:t>
      </w:r>
      <w:r w:rsidR="008C478E" w:rsidRPr="00CE1C25">
        <w:rPr>
          <w:rFonts w:ascii="Cambria" w:hAnsi="Cambria" w:cs="Calibri"/>
          <w:color w:val="000000" w:themeColor="text1"/>
          <w:sz w:val="20"/>
          <w:szCs w:val="20"/>
        </w:rPr>
        <w:t xml:space="preserve">) </w:t>
      </w:r>
      <w:r w:rsidRPr="00EF7872">
        <w:rPr>
          <w:rFonts w:ascii="Cambria" w:hAnsi="Cambria" w:cs="Calibri"/>
          <w:color w:val="000000" w:themeColor="text1"/>
          <w:sz w:val="20"/>
          <w:szCs w:val="20"/>
        </w:rPr>
        <w:t>at 34.</w:t>
      </w:r>
    </w:p>
  </w:footnote>
  <w:footnote w:id="10">
    <w:p w:rsidR="009827F8" w:rsidRPr="00EF7872" w:rsidRDefault="009827F8" w:rsidP="005A12A0">
      <w:pPr>
        <w:ind w:right="-347"/>
        <w:jc w:val="both"/>
        <w:rPr>
          <w:rFonts w:ascii="Cambria" w:hAnsi="Cambria"/>
          <w:sz w:val="20"/>
          <w:szCs w:val="20"/>
        </w:rPr>
      </w:pPr>
      <w:r w:rsidRPr="00EF7872">
        <w:rPr>
          <w:rStyle w:val="FootnoteReference"/>
          <w:rFonts w:ascii="Cambria" w:hAnsi="Cambria"/>
          <w:sz w:val="20"/>
          <w:szCs w:val="20"/>
        </w:rPr>
        <w:footnoteRef/>
      </w:r>
      <w:r w:rsidRPr="00EF7872">
        <w:rPr>
          <w:rFonts w:ascii="Cambria" w:hAnsi="Cambria"/>
          <w:sz w:val="20"/>
          <w:szCs w:val="20"/>
        </w:rPr>
        <w:t xml:space="preserve"> </w:t>
      </w:r>
      <w:r w:rsidR="005A12A0" w:rsidRPr="00EF7872">
        <w:rPr>
          <w:rFonts w:ascii="Cambria" w:hAnsi="Cambria"/>
          <w:sz w:val="20"/>
          <w:szCs w:val="20"/>
        </w:rPr>
        <w:t xml:space="preserve">SNAICC - National Voice for Our Children, </w:t>
      </w:r>
      <w:r w:rsidR="005A12A0" w:rsidRPr="00EF7872">
        <w:rPr>
          <w:rFonts w:ascii="Cambria" w:hAnsi="Cambria"/>
          <w:i/>
          <w:iCs/>
          <w:sz w:val="20"/>
          <w:szCs w:val="20"/>
        </w:rPr>
        <w:t>The Family Matters Report 2021</w:t>
      </w:r>
      <w:r w:rsidR="005A12A0" w:rsidRPr="00EF7872">
        <w:rPr>
          <w:rFonts w:ascii="Cambria" w:hAnsi="Cambria"/>
          <w:sz w:val="20"/>
          <w:szCs w:val="20"/>
        </w:rPr>
        <w:t xml:space="preserve"> (2021) at</w:t>
      </w:r>
      <w:r w:rsidR="007304F8" w:rsidRPr="00EF7872">
        <w:rPr>
          <w:rFonts w:ascii="Cambria" w:hAnsi="Cambria"/>
          <w:sz w:val="20"/>
          <w:szCs w:val="20"/>
        </w:rPr>
        <w:t xml:space="preserve"> </w:t>
      </w:r>
      <w:r w:rsidR="00E35446" w:rsidRPr="00EF7872">
        <w:rPr>
          <w:rFonts w:ascii="Cambria" w:hAnsi="Cambria"/>
          <w:sz w:val="20"/>
          <w:szCs w:val="20"/>
        </w:rPr>
        <w:t>130</w:t>
      </w:r>
      <w:r w:rsidR="005A12A0" w:rsidRPr="00EF7872">
        <w:rPr>
          <w:rFonts w:ascii="Cambria" w:hAnsi="Cambria"/>
          <w:sz w:val="20"/>
          <w:szCs w:val="20"/>
        </w:rPr>
        <w:t>.</w:t>
      </w:r>
    </w:p>
  </w:footnote>
  <w:footnote w:id="11">
    <w:p w:rsidR="000C500F" w:rsidRDefault="000C500F">
      <w:pPr>
        <w:pStyle w:val="FootnoteText"/>
      </w:pPr>
      <w:r w:rsidRPr="00EF7872">
        <w:rPr>
          <w:rStyle w:val="FootnoteReference"/>
          <w:rFonts w:ascii="Cambria" w:hAnsi="Cambria"/>
          <w:sz w:val="20"/>
          <w:szCs w:val="20"/>
        </w:rPr>
        <w:footnoteRef/>
      </w:r>
      <w:r w:rsidRPr="00EF7872">
        <w:rPr>
          <w:rFonts w:ascii="Cambria" w:hAnsi="Cambria"/>
          <w:sz w:val="20"/>
          <w:szCs w:val="20"/>
        </w:rPr>
        <w:t xml:space="preserve"> The South Australian Commissioner for Aboriginal Children and Young People was established in legislation in 2021 by amendment to the </w:t>
      </w:r>
      <w:r w:rsidRPr="00EF7872">
        <w:rPr>
          <w:rFonts w:ascii="Cambria" w:hAnsi="Cambria"/>
          <w:i/>
          <w:iCs/>
          <w:sz w:val="20"/>
          <w:szCs w:val="20"/>
        </w:rPr>
        <w:t>Children and Young People (Oversight and Advocacy Bodies) Act 2016</w:t>
      </w:r>
      <w:r w:rsidRPr="00EF7872">
        <w:rPr>
          <w:rFonts w:ascii="Cambria" w:hAnsi="Cambria"/>
          <w:sz w:val="20"/>
          <w:szCs w:val="20"/>
        </w:rPr>
        <w:t xml:space="preserve"> (SA). The Aboriginal and Torres Strait Islander Children and Young People Commissioner in the ACT was established in 2022 by enactment of the </w:t>
      </w:r>
      <w:r w:rsidRPr="00EF7872">
        <w:rPr>
          <w:rFonts w:ascii="Cambria" w:hAnsi="Cambria"/>
          <w:i/>
          <w:iCs/>
          <w:sz w:val="20"/>
          <w:szCs w:val="20"/>
        </w:rPr>
        <w:t xml:space="preserve">Aboriginal and Torres Strait Islander Children and Young People Commissioner Act 2022 </w:t>
      </w:r>
      <w:r w:rsidRPr="00EF7872">
        <w:rPr>
          <w:rFonts w:ascii="Cambria" w:hAnsi="Cambria"/>
          <w:sz w:val="20"/>
          <w:szCs w:val="20"/>
        </w:rPr>
        <w:t>(ACT).</w:t>
      </w:r>
    </w:p>
  </w:footnote>
  <w:footnote w:id="12">
    <w:p w:rsidR="00192C18" w:rsidRPr="005413D7" w:rsidRDefault="00192C18">
      <w:pPr>
        <w:pStyle w:val="FootnoteText"/>
        <w:rPr>
          <w:rFonts w:ascii="Cambria" w:hAnsi="Cambria"/>
          <w:sz w:val="20"/>
          <w:szCs w:val="20"/>
        </w:rPr>
      </w:pPr>
      <w:r w:rsidRPr="005413D7">
        <w:rPr>
          <w:rStyle w:val="FootnoteReference"/>
          <w:rFonts w:ascii="Cambria" w:hAnsi="Cambria"/>
          <w:sz w:val="20"/>
          <w:szCs w:val="20"/>
        </w:rPr>
        <w:footnoteRef/>
      </w:r>
      <w:r w:rsidRPr="005413D7">
        <w:rPr>
          <w:rFonts w:ascii="Cambria" w:hAnsi="Cambria"/>
          <w:sz w:val="20"/>
          <w:szCs w:val="20"/>
        </w:rPr>
        <w:t xml:space="preserve"> Clause 3 of the </w:t>
      </w:r>
      <w:r w:rsidRPr="005413D7">
        <w:rPr>
          <w:rFonts w:ascii="Cambria" w:hAnsi="Cambria"/>
          <w:bCs/>
          <w:i/>
          <w:iCs/>
          <w:color w:val="000000" w:themeColor="text1"/>
          <w:sz w:val="20"/>
          <w:szCs w:val="20"/>
        </w:rPr>
        <w:t xml:space="preserve">Commission for Children and Young People  Bill 2024. </w:t>
      </w:r>
      <w:r w:rsidRPr="005413D7">
        <w:rPr>
          <w:rFonts w:ascii="Cambria" w:hAnsi="Cambria"/>
          <w:color w:val="000000" w:themeColor="text1"/>
          <w:sz w:val="20"/>
          <w:szCs w:val="20"/>
        </w:rPr>
        <w:t xml:space="preserve"> </w:t>
      </w:r>
      <w:r w:rsidRPr="005413D7">
        <w:rPr>
          <w:rFonts w:ascii="Cambria" w:hAnsi="Cambria"/>
          <w:sz w:val="20"/>
          <w:szCs w:val="20"/>
        </w:rPr>
        <w:t xml:space="preserve"> </w:t>
      </w:r>
    </w:p>
  </w:footnote>
  <w:footnote w:id="13">
    <w:p w:rsidR="009E703C" w:rsidRPr="005413D7" w:rsidRDefault="009E703C">
      <w:pPr>
        <w:pStyle w:val="FootnoteText"/>
        <w:rPr>
          <w:rFonts w:ascii="Cambria" w:hAnsi="Cambria"/>
          <w:sz w:val="20"/>
          <w:szCs w:val="20"/>
        </w:rPr>
      </w:pPr>
      <w:r w:rsidRPr="005413D7">
        <w:rPr>
          <w:rStyle w:val="FootnoteReference"/>
          <w:rFonts w:ascii="Cambria" w:hAnsi="Cambria"/>
          <w:sz w:val="20"/>
          <w:szCs w:val="20"/>
        </w:rPr>
        <w:footnoteRef/>
      </w:r>
      <w:r w:rsidRPr="005413D7">
        <w:rPr>
          <w:rFonts w:ascii="Cambria" w:hAnsi="Cambria"/>
          <w:sz w:val="20"/>
          <w:szCs w:val="20"/>
        </w:rPr>
        <w:t xml:space="preserve"> Clause 7 of the </w:t>
      </w:r>
      <w:r w:rsidRPr="005413D7">
        <w:rPr>
          <w:rFonts w:ascii="Cambria" w:hAnsi="Cambria"/>
          <w:bCs/>
          <w:i/>
          <w:iCs/>
          <w:color w:val="000000" w:themeColor="text1"/>
          <w:sz w:val="20"/>
          <w:szCs w:val="20"/>
        </w:rPr>
        <w:t xml:space="preserve">Commission for Children and Young People  Bill 2024. </w:t>
      </w:r>
      <w:r w:rsidRPr="005413D7">
        <w:rPr>
          <w:rFonts w:ascii="Cambria" w:hAnsi="Cambria"/>
          <w:color w:val="000000" w:themeColor="text1"/>
          <w:sz w:val="20"/>
          <w:szCs w:val="20"/>
        </w:rPr>
        <w:t xml:space="preserve"> </w:t>
      </w:r>
      <w:r w:rsidRPr="005413D7">
        <w:rPr>
          <w:rFonts w:ascii="Cambria" w:hAnsi="Cambria"/>
          <w:sz w:val="20"/>
          <w:szCs w:val="20"/>
        </w:rPr>
        <w:t xml:space="preserve"> </w:t>
      </w:r>
    </w:p>
  </w:footnote>
  <w:footnote w:id="14">
    <w:p w:rsidR="00FC72FE" w:rsidRPr="005413D7" w:rsidRDefault="00FC72FE">
      <w:pPr>
        <w:pStyle w:val="FootnoteText"/>
        <w:rPr>
          <w:rFonts w:ascii="Cambria" w:hAnsi="Cambria"/>
          <w:sz w:val="20"/>
          <w:szCs w:val="20"/>
        </w:rPr>
      </w:pPr>
      <w:r w:rsidRPr="005413D7">
        <w:rPr>
          <w:rStyle w:val="FootnoteReference"/>
          <w:rFonts w:ascii="Cambria" w:hAnsi="Cambria"/>
          <w:sz w:val="20"/>
          <w:szCs w:val="20"/>
        </w:rPr>
        <w:footnoteRef/>
      </w:r>
      <w:r w:rsidRPr="005413D7">
        <w:rPr>
          <w:rFonts w:ascii="Cambria" w:hAnsi="Cambria"/>
          <w:sz w:val="20"/>
          <w:szCs w:val="20"/>
        </w:rPr>
        <w:t xml:space="preserve"> </w:t>
      </w:r>
      <w:r w:rsidR="008C478E" w:rsidRPr="00CE1C25">
        <w:rPr>
          <w:rFonts w:ascii="Cambria" w:hAnsi="Cambria" w:cs="Calibri"/>
          <w:i/>
          <w:iCs/>
          <w:color w:val="000000" w:themeColor="text1"/>
          <w:sz w:val="20"/>
          <w:szCs w:val="20"/>
        </w:rPr>
        <w:t>Commission of Inquiry into the Tasmanian Government’s Responses to Child Sexual Abuse in Institutional Settings</w:t>
      </w:r>
      <w:r w:rsidR="008C478E" w:rsidRPr="00CE1C25">
        <w:rPr>
          <w:rFonts w:ascii="Cambria" w:hAnsi="Cambria" w:cs="Calibri"/>
          <w:color w:val="000000" w:themeColor="text1"/>
          <w:sz w:val="20"/>
          <w:szCs w:val="20"/>
        </w:rPr>
        <w:t xml:space="preserve"> (</w:t>
      </w:r>
      <w:r w:rsidR="008C478E">
        <w:rPr>
          <w:rFonts w:ascii="Cambria" w:hAnsi="Cambria" w:cs="Calibri"/>
          <w:color w:val="000000" w:themeColor="text1"/>
          <w:sz w:val="20"/>
          <w:szCs w:val="20"/>
        </w:rPr>
        <w:t>August</w:t>
      </w:r>
      <w:r w:rsidR="008C478E" w:rsidRPr="00CE1C25">
        <w:rPr>
          <w:rFonts w:ascii="Cambria" w:hAnsi="Cambria" w:cs="Calibri"/>
          <w:color w:val="000000" w:themeColor="text1"/>
          <w:sz w:val="20"/>
          <w:szCs w:val="20"/>
        </w:rPr>
        <w:t xml:space="preserve"> 202</w:t>
      </w:r>
      <w:r w:rsidR="008C478E">
        <w:rPr>
          <w:rFonts w:ascii="Cambria" w:hAnsi="Cambria" w:cs="Calibri"/>
          <w:color w:val="000000" w:themeColor="text1"/>
          <w:sz w:val="20"/>
          <w:szCs w:val="20"/>
        </w:rPr>
        <w:t>3</w:t>
      </w:r>
      <w:r w:rsidR="008C478E" w:rsidRPr="00CE1C25">
        <w:rPr>
          <w:rFonts w:ascii="Cambria" w:hAnsi="Cambria" w:cs="Calibri"/>
          <w:color w:val="000000" w:themeColor="text1"/>
          <w:sz w:val="20"/>
          <w:szCs w:val="20"/>
        </w:rPr>
        <w:t xml:space="preserve">) </w:t>
      </w:r>
      <w:r w:rsidRPr="005413D7">
        <w:rPr>
          <w:rFonts w:ascii="Cambria" w:hAnsi="Cambria" w:cs="Calibri"/>
          <w:color w:val="000000" w:themeColor="text1"/>
          <w:sz w:val="20"/>
          <w:szCs w:val="20"/>
        </w:rPr>
        <w:t>at 110.</w:t>
      </w:r>
    </w:p>
  </w:footnote>
  <w:footnote w:id="15">
    <w:p w:rsidR="00A27FB6" w:rsidRPr="005413D7" w:rsidRDefault="00A27FB6">
      <w:pPr>
        <w:pStyle w:val="FootnoteText"/>
        <w:rPr>
          <w:rFonts w:ascii="Cambria" w:hAnsi="Cambria"/>
          <w:sz w:val="20"/>
          <w:szCs w:val="20"/>
        </w:rPr>
      </w:pPr>
      <w:r w:rsidRPr="005413D7">
        <w:rPr>
          <w:rStyle w:val="FootnoteReference"/>
          <w:rFonts w:ascii="Cambria" w:hAnsi="Cambria"/>
          <w:sz w:val="20"/>
          <w:szCs w:val="20"/>
        </w:rPr>
        <w:footnoteRef/>
      </w:r>
      <w:r w:rsidRPr="005413D7">
        <w:rPr>
          <w:rFonts w:ascii="Cambria" w:hAnsi="Cambria"/>
          <w:sz w:val="20"/>
          <w:szCs w:val="20"/>
        </w:rPr>
        <w:t xml:space="preserve"> </w:t>
      </w:r>
      <w:r w:rsidR="005413D7">
        <w:rPr>
          <w:rFonts w:ascii="Cambria" w:hAnsi="Cambria" w:cs="Calibri"/>
          <w:color w:val="000000" w:themeColor="text1"/>
          <w:sz w:val="20"/>
          <w:szCs w:val="20"/>
        </w:rPr>
        <w:t>Ibid,</w:t>
      </w:r>
      <w:r w:rsidRPr="005413D7">
        <w:rPr>
          <w:rFonts w:ascii="Cambria" w:hAnsi="Cambria" w:cs="Calibri"/>
          <w:color w:val="000000" w:themeColor="text1"/>
          <w:sz w:val="20"/>
          <w:szCs w:val="20"/>
        </w:rPr>
        <w:t xml:space="preserve"> Recommendation 9.34.</w:t>
      </w:r>
    </w:p>
  </w:footnote>
  <w:footnote w:id="16">
    <w:p w:rsidR="00225D5F" w:rsidRPr="00225D5F" w:rsidRDefault="00225D5F" w:rsidP="005413D7">
      <w:pPr>
        <w:rPr>
          <w:rFonts w:ascii="Segoe UI" w:hAnsi="Segoe UI" w:cs="Segoe UI"/>
          <w:color w:val="212529"/>
        </w:rPr>
      </w:pPr>
      <w:r w:rsidRPr="005413D7">
        <w:rPr>
          <w:rStyle w:val="FootnoteReference"/>
          <w:rFonts w:ascii="Cambria" w:hAnsi="Cambria"/>
          <w:sz w:val="20"/>
          <w:szCs w:val="20"/>
        </w:rPr>
        <w:footnoteRef/>
      </w:r>
      <w:r w:rsidRPr="005413D7">
        <w:rPr>
          <w:rFonts w:ascii="Cambria" w:hAnsi="Cambria"/>
          <w:sz w:val="20"/>
          <w:szCs w:val="20"/>
        </w:rPr>
        <w:t xml:space="preserve"> Department of Justice, </w:t>
      </w:r>
      <w:r w:rsidRPr="008C478E">
        <w:rPr>
          <w:rFonts w:ascii="Cambria" w:hAnsi="Cambria"/>
          <w:i/>
          <w:iCs/>
          <w:sz w:val="20"/>
          <w:szCs w:val="20"/>
        </w:rPr>
        <w:t>Commission for Children and Young People Bill 2024 – Have your say</w:t>
      </w:r>
      <w:r w:rsidRPr="005413D7">
        <w:rPr>
          <w:rFonts w:ascii="Cambria" w:hAnsi="Cambria"/>
          <w:sz w:val="20"/>
          <w:szCs w:val="20"/>
        </w:rPr>
        <w:t xml:space="preserve">. As found at </w:t>
      </w:r>
      <w:hyperlink r:id="rId1" w:history="1">
        <w:r w:rsidRPr="005413D7">
          <w:rPr>
            <w:rStyle w:val="Hyperlink"/>
            <w:rFonts w:ascii="Cambria" w:hAnsi="Cambria" w:cs="Segoe UI"/>
            <w:sz w:val="20"/>
            <w:szCs w:val="20"/>
          </w:rPr>
          <w:t>https://www.justice.tas.gov.au/community-consultation/consultations/commission-for-children-and-young-people-bill-2024</w:t>
        </w:r>
      </w:hyperlink>
      <w:r w:rsidRPr="005413D7">
        <w:rPr>
          <w:rFonts w:ascii="Cambria" w:hAnsi="Cambria" w:cs="Segoe UI"/>
          <w:color w:val="212529"/>
          <w:sz w:val="20"/>
          <w:szCs w:val="20"/>
        </w:rPr>
        <w:t xml:space="preserve"> (accessed </w:t>
      </w:r>
      <w:r w:rsidR="005413D7" w:rsidRPr="005413D7">
        <w:rPr>
          <w:rFonts w:ascii="Cambria" w:hAnsi="Cambria" w:cs="Segoe UI"/>
          <w:color w:val="212529"/>
          <w:sz w:val="20"/>
          <w:szCs w:val="20"/>
        </w:rPr>
        <w:t>10 December 2024).</w:t>
      </w:r>
      <w:r w:rsidR="005413D7">
        <w:rPr>
          <w:rFonts w:ascii="Segoe UI" w:hAnsi="Segoe UI" w:cs="Segoe UI"/>
          <w:color w:val="212529"/>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B5EBC"/>
    <w:multiLevelType w:val="hybridMultilevel"/>
    <w:tmpl w:val="8E585410"/>
    <w:lvl w:ilvl="0" w:tplc="7CE24C88">
      <w:start w:val="15"/>
      <w:numFmt w:val="bullet"/>
      <w:lvlText w:val="-"/>
      <w:lvlJc w:val="left"/>
      <w:pPr>
        <w:ind w:left="720" w:hanging="36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05CC5"/>
    <w:multiLevelType w:val="multilevel"/>
    <w:tmpl w:val="5498A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006B12"/>
    <w:multiLevelType w:val="hybridMultilevel"/>
    <w:tmpl w:val="4C884F38"/>
    <w:lvl w:ilvl="0" w:tplc="FCEC8A9E">
      <w:start w:val="21"/>
      <w:numFmt w:val="bullet"/>
      <w:lvlText w:val="-"/>
      <w:lvlJc w:val="left"/>
      <w:pPr>
        <w:ind w:left="720" w:hanging="36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E50C96"/>
    <w:multiLevelType w:val="hybridMultilevel"/>
    <w:tmpl w:val="538A63FC"/>
    <w:lvl w:ilvl="0" w:tplc="F85473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76530530">
    <w:abstractNumId w:val="2"/>
  </w:num>
  <w:num w:numId="2" w16cid:durableId="729428339">
    <w:abstractNumId w:val="1"/>
  </w:num>
  <w:num w:numId="3" w16cid:durableId="1247420259">
    <w:abstractNumId w:val="0"/>
  </w:num>
  <w:num w:numId="4" w16cid:durableId="1451439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8B"/>
    <w:rsid w:val="0003074E"/>
    <w:rsid w:val="00052162"/>
    <w:rsid w:val="000621A4"/>
    <w:rsid w:val="00074B13"/>
    <w:rsid w:val="000840C2"/>
    <w:rsid w:val="000A7FE0"/>
    <w:rsid w:val="000B0FAA"/>
    <w:rsid w:val="000B3B0F"/>
    <w:rsid w:val="000C500F"/>
    <w:rsid w:val="000D6BA7"/>
    <w:rsid w:val="0017682C"/>
    <w:rsid w:val="00192C18"/>
    <w:rsid w:val="001B2B18"/>
    <w:rsid w:val="001D5059"/>
    <w:rsid w:val="00225D5F"/>
    <w:rsid w:val="00231C1B"/>
    <w:rsid w:val="0025219C"/>
    <w:rsid w:val="00283C33"/>
    <w:rsid w:val="002A1653"/>
    <w:rsid w:val="002B735C"/>
    <w:rsid w:val="002C17A8"/>
    <w:rsid w:val="002E68C6"/>
    <w:rsid w:val="003025AC"/>
    <w:rsid w:val="00310E2E"/>
    <w:rsid w:val="00327AE2"/>
    <w:rsid w:val="00347B90"/>
    <w:rsid w:val="003E22F9"/>
    <w:rsid w:val="003F4674"/>
    <w:rsid w:val="0043686F"/>
    <w:rsid w:val="00450F3B"/>
    <w:rsid w:val="0047358A"/>
    <w:rsid w:val="004801BE"/>
    <w:rsid w:val="004C5447"/>
    <w:rsid w:val="005118AB"/>
    <w:rsid w:val="005413D7"/>
    <w:rsid w:val="00542070"/>
    <w:rsid w:val="00561BDA"/>
    <w:rsid w:val="00570E94"/>
    <w:rsid w:val="005A12A0"/>
    <w:rsid w:val="005B3871"/>
    <w:rsid w:val="005B58F2"/>
    <w:rsid w:val="005D5D47"/>
    <w:rsid w:val="005D7F02"/>
    <w:rsid w:val="006045AF"/>
    <w:rsid w:val="00604869"/>
    <w:rsid w:val="0063559D"/>
    <w:rsid w:val="00697396"/>
    <w:rsid w:val="006B6BD1"/>
    <w:rsid w:val="006C11C3"/>
    <w:rsid w:val="006F39F5"/>
    <w:rsid w:val="006F7816"/>
    <w:rsid w:val="00701FF1"/>
    <w:rsid w:val="00722896"/>
    <w:rsid w:val="0072635B"/>
    <w:rsid w:val="007304F8"/>
    <w:rsid w:val="00731C07"/>
    <w:rsid w:val="00734A93"/>
    <w:rsid w:val="0078194D"/>
    <w:rsid w:val="007F0250"/>
    <w:rsid w:val="00825E95"/>
    <w:rsid w:val="00845869"/>
    <w:rsid w:val="0088051A"/>
    <w:rsid w:val="00895B20"/>
    <w:rsid w:val="008A25FB"/>
    <w:rsid w:val="008C478E"/>
    <w:rsid w:val="008C5BCF"/>
    <w:rsid w:val="008D14D3"/>
    <w:rsid w:val="008D6242"/>
    <w:rsid w:val="008E56B5"/>
    <w:rsid w:val="009027E6"/>
    <w:rsid w:val="00904567"/>
    <w:rsid w:val="009826B8"/>
    <w:rsid w:val="009827F8"/>
    <w:rsid w:val="0099309A"/>
    <w:rsid w:val="009E703C"/>
    <w:rsid w:val="00A27FB6"/>
    <w:rsid w:val="00A45EB5"/>
    <w:rsid w:val="00A676DA"/>
    <w:rsid w:val="00AF211B"/>
    <w:rsid w:val="00B06FC2"/>
    <w:rsid w:val="00B5606B"/>
    <w:rsid w:val="00B80E14"/>
    <w:rsid w:val="00C1017B"/>
    <w:rsid w:val="00C15907"/>
    <w:rsid w:val="00C37CAB"/>
    <w:rsid w:val="00C4508D"/>
    <w:rsid w:val="00C50D78"/>
    <w:rsid w:val="00C54A9A"/>
    <w:rsid w:val="00C84CCE"/>
    <w:rsid w:val="00C92CD2"/>
    <w:rsid w:val="00CC55A5"/>
    <w:rsid w:val="00CC658F"/>
    <w:rsid w:val="00CD2105"/>
    <w:rsid w:val="00CD4A0F"/>
    <w:rsid w:val="00CE1C25"/>
    <w:rsid w:val="00D120CB"/>
    <w:rsid w:val="00D12E01"/>
    <w:rsid w:val="00D22BD0"/>
    <w:rsid w:val="00D4338B"/>
    <w:rsid w:val="00D57367"/>
    <w:rsid w:val="00D67D27"/>
    <w:rsid w:val="00D7093E"/>
    <w:rsid w:val="00DC4BFB"/>
    <w:rsid w:val="00E2143C"/>
    <w:rsid w:val="00E30B03"/>
    <w:rsid w:val="00E35446"/>
    <w:rsid w:val="00E412C8"/>
    <w:rsid w:val="00E4214C"/>
    <w:rsid w:val="00E61D35"/>
    <w:rsid w:val="00E72848"/>
    <w:rsid w:val="00EA5280"/>
    <w:rsid w:val="00ED4425"/>
    <w:rsid w:val="00EF7872"/>
    <w:rsid w:val="00F646F5"/>
    <w:rsid w:val="00F6538B"/>
    <w:rsid w:val="00F8512F"/>
    <w:rsid w:val="00FA3BF0"/>
    <w:rsid w:val="00FC6869"/>
    <w:rsid w:val="00FC72FE"/>
    <w:rsid w:val="00FE7D54"/>
    <w:rsid w:val="00FF2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83E68A8"/>
  <w15:chartTrackingRefBased/>
  <w15:docId w15:val="{759B16BD-F20A-7C4A-8E81-F5552978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38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38B"/>
    <w:rPr>
      <w:color w:val="0563C1" w:themeColor="hyperlink"/>
      <w:u w:val="single"/>
    </w:rPr>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nhideWhenUsed/>
    <w:rsid w:val="00D4338B"/>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rsid w:val="00D4338B"/>
    <w:rPr>
      <w:rFonts w:ascii="Times New Roman" w:eastAsia="Times New Roman" w:hAnsi="Times New Roman" w:cs="Times New Roman"/>
      <w:lang w:eastAsia="en-GB"/>
    </w:rPr>
  </w:style>
  <w:style w:type="character" w:styleId="FootnoteReference">
    <w:name w:val="footnote reference"/>
    <w:aliases w:val="Footnotes refss,Ref,de nota al pie"/>
    <w:basedOn w:val="DefaultParagraphFont"/>
    <w:unhideWhenUsed/>
    <w:qFormat/>
    <w:rsid w:val="00D4338B"/>
    <w:rPr>
      <w:vertAlign w:val="superscript"/>
    </w:rPr>
  </w:style>
  <w:style w:type="paragraph" w:styleId="Footer">
    <w:name w:val="footer"/>
    <w:basedOn w:val="Normal"/>
    <w:link w:val="FooterChar"/>
    <w:uiPriority w:val="99"/>
    <w:unhideWhenUsed/>
    <w:rsid w:val="00D4338B"/>
    <w:pPr>
      <w:tabs>
        <w:tab w:val="center" w:pos="4513"/>
        <w:tab w:val="right" w:pos="9026"/>
      </w:tabs>
    </w:pPr>
  </w:style>
  <w:style w:type="character" w:customStyle="1" w:styleId="FooterChar">
    <w:name w:val="Footer Char"/>
    <w:basedOn w:val="DefaultParagraphFont"/>
    <w:link w:val="Footer"/>
    <w:uiPriority w:val="99"/>
    <w:rsid w:val="00D4338B"/>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D4338B"/>
  </w:style>
  <w:style w:type="character" w:styleId="Emphasis">
    <w:name w:val="Emphasis"/>
    <w:basedOn w:val="DefaultParagraphFont"/>
    <w:uiPriority w:val="20"/>
    <w:qFormat/>
    <w:rsid w:val="00F646F5"/>
    <w:rPr>
      <w:i/>
      <w:iCs/>
    </w:rPr>
  </w:style>
  <w:style w:type="character" w:styleId="UnresolvedMention">
    <w:name w:val="Unresolved Mention"/>
    <w:basedOn w:val="DefaultParagraphFont"/>
    <w:uiPriority w:val="99"/>
    <w:semiHidden/>
    <w:unhideWhenUsed/>
    <w:rsid w:val="00F646F5"/>
    <w:rPr>
      <w:color w:val="605E5C"/>
      <w:shd w:val="clear" w:color="auto" w:fill="E1DFDD"/>
    </w:rPr>
  </w:style>
  <w:style w:type="paragraph" w:styleId="ListParagraph">
    <w:name w:val="List Paragraph"/>
    <w:basedOn w:val="Normal"/>
    <w:uiPriority w:val="34"/>
    <w:qFormat/>
    <w:rsid w:val="0078194D"/>
    <w:pPr>
      <w:ind w:left="720"/>
      <w:contextualSpacing/>
    </w:pPr>
  </w:style>
  <w:style w:type="paragraph" w:styleId="NormalWeb">
    <w:name w:val="Normal (Web)"/>
    <w:basedOn w:val="Normal"/>
    <w:uiPriority w:val="99"/>
    <w:unhideWhenUsed/>
    <w:rsid w:val="006F7816"/>
    <w:pPr>
      <w:spacing w:before="100" w:beforeAutospacing="1" w:after="100" w:afterAutospacing="1"/>
    </w:pPr>
  </w:style>
  <w:style w:type="paragraph" w:styleId="NoSpacing">
    <w:name w:val="No Spacing"/>
    <w:uiPriority w:val="1"/>
    <w:qFormat/>
    <w:rsid w:val="002E68C6"/>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9239">
      <w:bodyDiv w:val="1"/>
      <w:marLeft w:val="0"/>
      <w:marRight w:val="0"/>
      <w:marTop w:val="0"/>
      <w:marBottom w:val="0"/>
      <w:divBdr>
        <w:top w:val="none" w:sz="0" w:space="0" w:color="auto"/>
        <w:left w:val="none" w:sz="0" w:space="0" w:color="auto"/>
        <w:bottom w:val="none" w:sz="0" w:space="0" w:color="auto"/>
        <w:right w:val="none" w:sz="0" w:space="0" w:color="auto"/>
      </w:divBdr>
    </w:div>
    <w:div w:id="711271739">
      <w:bodyDiv w:val="1"/>
      <w:marLeft w:val="0"/>
      <w:marRight w:val="0"/>
      <w:marTop w:val="0"/>
      <w:marBottom w:val="0"/>
      <w:divBdr>
        <w:top w:val="none" w:sz="0" w:space="0" w:color="auto"/>
        <w:left w:val="none" w:sz="0" w:space="0" w:color="auto"/>
        <w:bottom w:val="none" w:sz="0" w:space="0" w:color="auto"/>
        <w:right w:val="none" w:sz="0" w:space="0" w:color="auto"/>
      </w:divBdr>
      <w:divsChild>
        <w:div w:id="765343399">
          <w:marLeft w:val="0"/>
          <w:marRight w:val="0"/>
          <w:marTop w:val="0"/>
          <w:marBottom w:val="0"/>
          <w:divBdr>
            <w:top w:val="none" w:sz="0" w:space="0" w:color="auto"/>
            <w:left w:val="none" w:sz="0" w:space="0" w:color="auto"/>
            <w:bottom w:val="none" w:sz="0" w:space="0" w:color="auto"/>
            <w:right w:val="none" w:sz="0" w:space="0" w:color="auto"/>
          </w:divBdr>
        </w:div>
        <w:div w:id="720830760">
          <w:marLeft w:val="0"/>
          <w:marRight w:val="0"/>
          <w:marTop w:val="0"/>
          <w:marBottom w:val="0"/>
          <w:divBdr>
            <w:top w:val="none" w:sz="0" w:space="0" w:color="auto"/>
            <w:left w:val="none" w:sz="0" w:space="0" w:color="auto"/>
            <w:bottom w:val="none" w:sz="0" w:space="0" w:color="auto"/>
            <w:right w:val="none" w:sz="0" w:space="0" w:color="auto"/>
          </w:divBdr>
        </w:div>
        <w:div w:id="1985813403">
          <w:marLeft w:val="0"/>
          <w:marRight w:val="0"/>
          <w:marTop w:val="0"/>
          <w:marBottom w:val="0"/>
          <w:divBdr>
            <w:top w:val="none" w:sz="0" w:space="0" w:color="auto"/>
            <w:left w:val="none" w:sz="0" w:space="0" w:color="auto"/>
            <w:bottom w:val="none" w:sz="0" w:space="0" w:color="auto"/>
            <w:right w:val="none" w:sz="0" w:space="0" w:color="auto"/>
          </w:divBdr>
        </w:div>
        <w:div w:id="197817014">
          <w:marLeft w:val="0"/>
          <w:marRight w:val="0"/>
          <w:marTop w:val="0"/>
          <w:marBottom w:val="0"/>
          <w:divBdr>
            <w:top w:val="none" w:sz="0" w:space="0" w:color="auto"/>
            <w:left w:val="none" w:sz="0" w:space="0" w:color="auto"/>
            <w:bottom w:val="none" w:sz="0" w:space="0" w:color="auto"/>
            <w:right w:val="none" w:sz="0" w:space="0" w:color="auto"/>
          </w:divBdr>
        </w:div>
        <w:div w:id="1264996550">
          <w:marLeft w:val="0"/>
          <w:marRight w:val="0"/>
          <w:marTop w:val="0"/>
          <w:marBottom w:val="0"/>
          <w:divBdr>
            <w:top w:val="none" w:sz="0" w:space="0" w:color="auto"/>
            <w:left w:val="none" w:sz="0" w:space="0" w:color="auto"/>
            <w:bottom w:val="none" w:sz="0" w:space="0" w:color="auto"/>
            <w:right w:val="none" w:sz="0" w:space="0" w:color="auto"/>
          </w:divBdr>
        </w:div>
        <w:div w:id="1603881354">
          <w:marLeft w:val="0"/>
          <w:marRight w:val="0"/>
          <w:marTop w:val="0"/>
          <w:marBottom w:val="0"/>
          <w:divBdr>
            <w:top w:val="none" w:sz="0" w:space="0" w:color="auto"/>
            <w:left w:val="none" w:sz="0" w:space="0" w:color="auto"/>
            <w:bottom w:val="none" w:sz="0" w:space="0" w:color="auto"/>
            <w:right w:val="none" w:sz="0" w:space="0" w:color="auto"/>
          </w:divBdr>
        </w:div>
        <w:div w:id="1251813508">
          <w:marLeft w:val="0"/>
          <w:marRight w:val="0"/>
          <w:marTop w:val="0"/>
          <w:marBottom w:val="0"/>
          <w:divBdr>
            <w:top w:val="none" w:sz="0" w:space="0" w:color="auto"/>
            <w:left w:val="none" w:sz="0" w:space="0" w:color="auto"/>
            <w:bottom w:val="none" w:sz="0" w:space="0" w:color="auto"/>
            <w:right w:val="none" w:sz="0" w:space="0" w:color="auto"/>
          </w:divBdr>
        </w:div>
        <w:div w:id="1736320685">
          <w:marLeft w:val="0"/>
          <w:marRight w:val="0"/>
          <w:marTop w:val="0"/>
          <w:marBottom w:val="0"/>
          <w:divBdr>
            <w:top w:val="none" w:sz="0" w:space="0" w:color="auto"/>
            <w:left w:val="none" w:sz="0" w:space="0" w:color="auto"/>
            <w:bottom w:val="none" w:sz="0" w:space="0" w:color="auto"/>
            <w:right w:val="none" w:sz="0" w:space="0" w:color="auto"/>
          </w:divBdr>
        </w:div>
        <w:div w:id="1170757495">
          <w:marLeft w:val="0"/>
          <w:marRight w:val="0"/>
          <w:marTop w:val="0"/>
          <w:marBottom w:val="0"/>
          <w:divBdr>
            <w:top w:val="none" w:sz="0" w:space="0" w:color="auto"/>
            <w:left w:val="none" w:sz="0" w:space="0" w:color="auto"/>
            <w:bottom w:val="none" w:sz="0" w:space="0" w:color="auto"/>
            <w:right w:val="none" w:sz="0" w:space="0" w:color="auto"/>
          </w:divBdr>
        </w:div>
        <w:div w:id="614560166">
          <w:marLeft w:val="0"/>
          <w:marRight w:val="0"/>
          <w:marTop w:val="0"/>
          <w:marBottom w:val="0"/>
          <w:divBdr>
            <w:top w:val="none" w:sz="0" w:space="0" w:color="auto"/>
            <w:left w:val="none" w:sz="0" w:space="0" w:color="auto"/>
            <w:bottom w:val="none" w:sz="0" w:space="0" w:color="auto"/>
            <w:right w:val="none" w:sz="0" w:space="0" w:color="auto"/>
          </w:divBdr>
        </w:div>
        <w:div w:id="603268366">
          <w:marLeft w:val="0"/>
          <w:marRight w:val="0"/>
          <w:marTop w:val="0"/>
          <w:marBottom w:val="0"/>
          <w:divBdr>
            <w:top w:val="none" w:sz="0" w:space="0" w:color="auto"/>
            <w:left w:val="none" w:sz="0" w:space="0" w:color="auto"/>
            <w:bottom w:val="none" w:sz="0" w:space="0" w:color="auto"/>
            <w:right w:val="none" w:sz="0" w:space="0" w:color="auto"/>
          </w:divBdr>
        </w:div>
        <w:div w:id="523441068">
          <w:marLeft w:val="0"/>
          <w:marRight w:val="0"/>
          <w:marTop w:val="0"/>
          <w:marBottom w:val="0"/>
          <w:divBdr>
            <w:top w:val="none" w:sz="0" w:space="0" w:color="auto"/>
            <w:left w:val="none" w:sz="0" w:space="0" w:color="auto"/>
            <w:bottom w:val="none" w:sz="0" w:space="0" w:color="auto"/>
            <w:right w:val="none" w:sz="0" w:space="0" w:color="auto"/>
          </w:divBdr>
        </w:div>
        <w:div w:id="883369083">
          <w:marLeft w:val="0"/>
          <w:marRight w:val="0"/>
          <w:marTop w:val="0"/>
          <w:marBottom w:val="0"/>
          <w:divBdr>
            <w:top w:val="none" w:sz="0" w:space="0" w:color="auto"/>
            <w:left w:val="none" w:sz="0" w:space="0" w:color="auto"/>
            <w:bottom w:val="none" w:sz="0" w:space="0" w:color="auto"/>
            <w:right w:val="none" w:sz="0" w:space="0" w:color="auto"/>
          </w:divBdr>
        </w:div>
        <w:div w:id="125661396">
          <w:marLeft w:val="0"/>
          <w:marRight w:val="0"/>
          <w:marTop w:val="0"/>
          <w:marBottom w:val="0"/>
          <w:divBdr>
            <w:top w:val="none" w:sz="0" w:space="0" w:color="auto"/>
            <w:left w:val="none" w:sz="0" w:space="0" w:color="auto"/>
            <w:bottom w:val="none" w:sz="0" w:space="0" w:color="auto"/>
            <w:right w:val="none" w:sz="0" w:space="0" w:color="auto"/>
          </w:divBdr>
        </w:div>
        <w:div w:id="327297306">
          <w:marLeft w:val="0"/>
          <w:marRight w:val="0"/>
          <w:marTop w:val="0"/>
          <w:marBottom w:val="0"/>
          <w:divBdr>
            <w:top w:val="none" w:sz="0" w:space="0" w:color="auto"/>
            <w:left w:val="none" w:sz="0" w:space="0" w:color="auto"/>
            <w:bottom w:val="none" w:sz="0" w:space="0" w:color="auto"/>
            <w:right w:val="none" w:sz="0" w:space="0" w:color="auto"/>
          </w:divBdr>
        </w:div>
        <w:div w:id="1325860850">
          <w:marLeft w:val="0"/>
          <w:marRight w:val="0"/>
          <w:marTop w:val="0"/>
          <w:marBottom w:val="0"/>
          <w:divBdr>
            <w:top w:val="none" w:sz="0" w:space="0" w:color="auto"/>
            <w:left w:val="none" w:sz="0" w:space="0" w:color="auto"/>
            <w:bottom w:val="none" w:sz="0" w:space="0" w:color="auto"/>
            <w:right w:val="none" w:sz="0" w:space="0" w:color="auto"/>
          </w:divBdr>
        </w:div>
        <w:div w:id="1534810696">
          <w:marLeft w:val="0"/>
          <w:marRight w:val="0"/>
          <w:marTop w:val="0"/>
          <w:marBottom w:val="0"/>
          <w:divBdr>
            <w:top w:val="none" w:sz="0" w:space="0" w:color="auto"/>
            <w:left w:val="none" w:sz="0" w:space="0" w:color="auto"/>
            <w:bottom w:val="none" w:sz="0" w:space="0" w:color="auto"/>
            <w:right w:val="none" w:sz="0" w:space="0" w:color="auto"/>
          </w:divBdr>
        </w:div>
        <w:div w:id="730076441">
          <w:marLeft w:val="0"/>
          <w:marRight w:val="0"/>
          <w:marTop w:val="0"/>
          <w:marBottom w:val="0"/>
          <w:divBdr>
            <w:top w:val="none" w:sz="0" w:space="0" w:color="auto"/>
            <w:left w:val="none" w:sz="0" w:space="0" w:color="auto"/>
            <w:bottom w:val="none" w:sz="0" w:space="0" w:color="auto"/>
            <w:right w:val="none" w:sz="0" w:space="0" w:color="auto"/>
          </w:divBdr>
        </w:div>
        <w:div w:id="2020160772">
          <w:marLeft w:val="0"/>
          <w:marRight w:val="0"/>
          <w:marTop w:val="0"/>
          <w:marBottom w:val="0"/>
          <w:divBdr>
            <w:top w:val="none" w:sz="0" w:space="0" w:color="auto"/>
            <w:left w:val="none" w:sz="0" w:space="0" w:color="auto"/>
            <w:bottom w:val="none" w:sz="0" w:space="0" w:color="auto"/>
            <w:right w:val="none" w:sz="0" w:space="0" w:color="auto"/>
          </w:divBdr>
        </w:div>
        <w:div w:id="1884705029">
          <w:marLeft w:val="0"/>
          <w:marRight w:val="0"/>
          <w:marTop w:val="0"/>
          <w:marBottom w:val="0"/>
          <w:divBdr>
            <w:top w:val="none" w:sz="0" w:space="0" w:color="auto"/>
            <w:left w:val="none" w:sz="0" w:space="0" w:color="auto"/>
            <w:bottom w:val="none" w:sz="0" w:space="0" w:color="auto"/>
            <w:right w:val="none" w:sz="0" w:space="0" w:color="auto"/>
          </w:divBdr>
        </w:div>
        <w:div w:id="1554657026">
          <w:marLeft w:val="0"/>
          <w:marRight w:val="0"/>
          <w:marTop w:val="0"/>
          <w:marBottom w:val="0"/>
          <w:divBdr>
            <w:top w:val="none" w:sz="0" w:space="0" w:color="auto"/>
            <w:left w:val="none" w:sz="0" w:space="0" w:color="auto"/>
            <w:bottom w:val="none" w:sz="0" w:space="0" w:color="auto"/>
            <w:right w:val="none" w:sz="0" w:space="0" w:color="auto"/>
          </w:divBdr>
        </w:div>
        <w:div w:id="1953784184">
          <w:marLeft w:val="0"/>
          <w:marRight w:val="0"/>
          <w:marTop w:val="0"/>
          <w:marBottom w:val="0"/>
          <w:divBdr>
            <w:top w:val="none" w:sz="0" w:space="0" w:color="auto"/>
            <w:left w:val="none" w:sz="0" w:space="0" w:color="auto"/>
            <w:bottom w:val="none" w:sz="0" w:space="0" w:color="auto"/>
            <w:right w:val="none" w:sz="0" w:space="0" w:color="auto"/>
          </w:divBdr>
        </w:div>
        <w:div w:id="1633250422">
          <w:marLeft w:val="0"/>
          <w:marRight w:val="0"/>
          <w:marTop w:val="0"/>
          <w:marBottom w:val="0"/>
          <w:divBdr>
            <w:top w:val="none" w:sz="0" w:space="0" w:color="auto"/>
            <w:left w:val="none" w:sz="0" w:space="0" w:color="auto"/>
            <w:bottom w:val="none" w:sz="0" w:space="0" w:color="auto"/>
            <w:right w:val="none" w:sz="0" w:space="0" w:color="auto"/>
          </w:divBdr>
        </w:div>
        <w:div w:id="117532203">
          <w:marLeft w:val="0"/>
          <w:marRight w:val="0"/>
          <w:marTop w:val="0"/>
          <w:marBottom w:val="0"/>
          <w:divBdr>
            <w:top w:val="none" w:sz="0" w:space="0" w:color="auto"/>
            <w:left w:val="none" w:sz="0" w:space="0" w:color="auto"/>
            <w:bottom w:val="none" w:sz="0" w:space="0" w:color="auto"/>
            <w:right w:val="none" w:sz="0" w:space="0" w:color="auto"/>
          </w:divBdr>
        </w:div>
        <w:div w:id="690569399">
          <w:marLeft w:val="0"/>
          <w:marRight w:val="0"/>
          <w:marTop w:val="0"/>
          <w:marBottom w:val="0"/>
          <w:divBdr>
            <w:top w:val="none" w:sz="0" w:space="0" w:color="auto"/>
            <w:left w:val="none" w:sz="0" w:space="0" w:color="auto"/>
            <w:bottom w:val="none" w:sz="0" w:space="0" w:color="auto"/>
            <w:right w:val="none" w:sz="0" w:space="0" w:color="auto"/>
          </w:divBdr>
        </w:div>
        <w:div w:id="892354762">
          <w:marLeft w:val="0"/>
          <w:marRight w:val="0"/>
          <w:marTop w:val="0"/>
          <w:marBottom w:val="0"/>
          <w:divBdr>
            <w:top w:val="none" w:sz="0" w:space="0" w:color="auto"/>
            <w:left w:val="none" w:sz="0" w:space="0" w:color="auto"/>
            <w:bottom w:val="none" w:sz="0" w:space="0" w:color="auto"/>
            <w:right w:val="none" w:sz="0" w:space="0" w:color="auto"/>
          </w:divBdr>
        </w:div>
        <w:div w:id="675302923">
          <w:marLeft w:val="0"/>
          <w:marRight w:val="0"/>
          <w:marTop w:val="0"/>
          <w:marBottom w:val="0"/>
          <w:divBdr>
            <w:top w:val="none" w:sz="0" w:space="0" w:color="auto"/>
            <w:left w:val="none" w:sz="0" w:space="0" w:color="auto"/>
            <w:bottom w:val="none" w:sz="0" w:space="0" w:color="auto"/>
            <w:right w:val="none" w:sz="0" w:space="0" w:color="auto"/>
          </w:divBdr>
        </w:div>
        <w:div w:id="633104672">
          <w:marLeft w:val="0"/>
          <w:marRight w:val="0"/>
          <w:marTop w:val="0"/>
          <w:marBottom w:val="0"/>
          <w:divBdr>
            <w:top w:val="none" w:sz="0" w:space="0" w:color="auto"/>
            <w:left w:val="none" w:sz="0" w:space="0" w:color="auto"/>
            <w:bottom w:val="none" w:sz="0" w:space="0" w:color="auto"/>
            <w:right w:val="none" w:sz="0" w:space="0" w:color="auto"/>
          </w:divBdr>
        </w:div>
      </w:divsChild>
    </w:div>
    <w:div w:id="113626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justice.tas.gov.au/community-consultation/consultations/commission-for-children-and-young-people-bill-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989</Words>
  <Characters>5590</Characters>
  <Application>Microsoft Office Word</Application>
  <DocSecurity>0</DocSecurity>
  <Lines>93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2024-12-15T23:13:00Z</cp:lastPrinted>
  <dcterms:created xsi:type="dcterms:W3CDTF">2024-12-13T00:46:00Z</dcterms:created>
  <dcterms:modified xsi:type="dcterms:W3CDTF">2024-12-15T23:21:00Z</dcterms:modified>
</cp:coreProperties>
</file>