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161" w:rsidRPr="00404F7A" w:rsidRDefault="00057161" w:rsidP="00057161">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5B34AE04" wp14:editId="0F04C1DF">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057161" w:rsidRPr="00C8369E" w:rsidRDefault="00057161" w:rsidP="00057161">
      <w:pPr>
        <w:ind w:right="-205"/>
        <w:jc w:val="both"/>
        <w:rPr>
          <w:rFonts w:ascii="Cambria" w:hAnsi="Cambria"/>
          <w:color w:val="000000" w:themeColor="text1"/>
        </w:rPr>
      </w:pPr>
    </w:p>
    <w:p w:rsidR="00057161" w:rsidRPr="00C8369E" w:rsidRDefault="00057161" w:rsidP="00057161">
      <w:pPr>
        <w:ind w:right="-205"/>
        <w:jc w:val="both"/>
        <w:rPr>
          <w:rFonts w:ascii="Cambria" w:hAnsi="Cambria"/>
          <w:color w:val="000000" w:themeColor="text1"/>
        </w:rPr>
      </w:pPr>
    </w:p>
    <w:p w:rsidR="00057161" w:rsidRPr="00C8369E" w:rsidRDefault="003660C2" w:rsidP="00057161">
      <w:pPr>
        <w:ind w:right="-205"/>
        <w:jc w:val="both"/>
        <w:rPr>
          <w:rFonts w:ascii="Cambria" w:hAnsi="Cambria"/>
          <w:color w:val="000000" w:themeColor="text1"/>
        </w:rPr>
      </w:pPr>
      <w:r>
        <w:rPr>
          <w:rFonts w:ascii="Cambria" w:hAnsi="Cambria"/>
          <w:color w:val="000000" w:themeColor="text1"/>
        </w:rPr>
        <w:t>24</w:t>
      </w:r>
      <w:r w:rsidR="00057161">
        <w:rPr>
          <w:rFonts w:ascii="Cambria" w:hAnsi="Cambria"/>
          <w:color w:val="000000" w:themeColor="text1"/>
        </w:rPr>
        <w:t xml:space="preserve"> January </w:t>
      </w:r>
      <w:r w:rsidR="00057161" w:rsidRPr="00C8369E">
        <w:rPr>
          <w:rFonts w:ascii="Cambria" w:hAnsi="Cambria"/>
          <w:color w:val="000000" w:themeColor="text1"/>
        </w:rPr>
        <w:t>202</w:t>
      </w:r>
      <w:r w:rsidR="00057161">
        <w:rPr>
          <w:rFonts w:ascii="Cambria" w:hAnsi="Cambria"/>
          <w:color w:val="000000" w:themeColor="text1"/>
        </w:rPr>
        <w:t>5</w:t>
      </w:r>
    </w:p>
    <w:p w:rsidR="00057161" w:rsidRPr="00C8369E" w:rsidRDefault="00057161" w:rsidP="00057161">
      <w:pPr>
        <w:ind w:right="-347"/>
        <w:rPr>
          <w:rFonts w:ascii="Cambria" w:hAnsi="Cambria"/>
          <w:color w:val="000000" w:themeColor="text1"/>
        </w:rPr>
      </w:pPr>
    </w:p>
    <w:p w:rsidR="00057161" w:rsidRDefault="00057161" w:rsidP="00057161">
      <w:pPr>
        <w:ind w:right="-347"/>
        <w:rPr>
          <w:rFonts w:ascii="Cambria" w:hAnsi="Cambria"/>
          <w:color w:val="000000" w:themeColor="text1"/>
        </w:rPr>
      </w:pPr>
      <w:r>
        <w:rPr>
          <w:rFonts w:ascii="Cambria" w:hAnsi="Cambria"/>
          <w:color w:val="000000" w:themeColor="text1"/>
        </w:rPr>
        <w:t>The Secretary</w:t>
      </w:r>
    </w:p>
    <w:p w:rsidR="00057161" w:rsidRDefault="00057161" w:rsidP="00057161">
      <w:pPr>
        <w:ind w:right="-347"/>
        <w:rPr>
          <w:rFonts w:ascii="Cambria" w:hAnsi="Cambria"/>
          <w:color w:val="000000" w:themeColor="text1"/>
        </w:rPr>
      </w:pPr>
      <w:r>
        <w:rPr>
          <w:rFonts w:ascii="Cambria" w:hAnsi="Cambria"/>
          <w:color w:val="000000" w:themeColor="text1"/>
        </w:rPr>
        <w:t>Joint Sessional Committee on Gender and Equality</w:t>
      </w:r>
    </w:p>
    <w:p w:rsidR="00057161" w:rsidRDefault="00057161" w:rsidP="00057161">
      <w:pPr>
        <w:ind w:right="-347"/>
        <w:rPr>
          <w:rFonts w:ascii="Cambria" w:hAnsi="Cambria"/>
          <w:color w:val="000000" w:themeColor="text1"/>
        </w:rPr>
      </w:pPr>
      <w:r>
        <w:rPr>
          <w:rFonts w:ascii="Cambria" w:hAnsi="Cambria"/>
          <w:color w:val="000000" w:themeColor="text1"/>
        </w:rPr>
        <w:t>Parliament House</w:t>
      </w:r>
    </w:p>
    <w:p w:rsidR="00057161" w:rsidRPr="00C8369E" w:rsidRDefault="00057161" w:rsidP="00057161">
      <w:pPr>
        <w:ind w:right="-347"/>
        <w:rPr>
          <w:rFonts w:ascii="Cambria" w:hAnsi="Cambria"/>
          <w:color w:val="000000" w:themeColor="text1"/>
        </w:rPr>
      </w:pPr>
      <w:r>
        <w:rPr>
          <w:rFonts w:ascii="Cambria" w:hAnsi="Cambria"/>
          <w:color w:val="000000" w:themeColor="text1"/>
        </w:rPr>
        <w:t>Hobart TAS 7000</w:t>
      </w:r>
      <w:r w:rsidRPr="00C8369E">
        <w:rPr>
          <w:rFonts w:ascii="Cambria" w:hAnsi="Cambria"/>
          <w:color w:val="000000" w:themeColor="text1"/>
        </w:rPr>
        <w:tab/>
      </w:r>
      <w:r w:rsidRPr="00C8369E">
        <w:rPr>
          <w:rFonts w:ascii="Cambria" w:hAnsi="Cambria"/>
          <w:color w:val="000000" w:themeColor="text1"/>
        </w:rPr>
        <w:tab/>
      </w:r>
      <w:r w:rsidRPr="00C8369E">
        <w:rPr>
          <w:rFonts w:ascii="Cambria" w:hAnsi="Cambria"/>
          <w:color w:val="000000" w:themeColor="text1"/>
        </w:rPr>
        <w:tab/>
      </w:r>
    </w:p>
    <w:p w:rsidR="00057161" w:rsidRPr="00C8369E" w:rsidRDefault="00057161" w:rsidP="00057161">
      <w:pPr>
        <w:ind w:left="3600" w:right="-347"/>
        <w:rPr>
          <w:rFonts w:ascii="Cambria" w:hAnsi="Cambria"/>
          <w:color w:val="000000" w:themeColor="text1"/>
        </w:rPr>
      </w:pPr>
      <w:r w:rsidRPr="00C8369E">
        <w:rPr>
          <w:rFonts w:ascii="Cambria" w:hAnsi="Cambria"/>
          <w:i/>
          <w:iCs/>
          <w:color w:val="000000" w:themeColor="text1"/>
        </w:rPr>
        <w:t xml:space="preserve">via email: </w:t>
      </w:r>
      <w:hyperlink r:id="rId8" w:history="1">
        <w:r w:rsidRPr="00C637C7">
          <w:rPr>
            <w:rStyle w:val="Hyperlink"/>
            <w:rFonts w:ascii="Cambria" w:eastAsiaTheme="majorEastAsia" w:hAnsi="Cambria"/>
            <w:i/>
            <w:iCs/>
          </w:rPr>
          <w:t>genderandequality@parliament.tas.gov.au</w:t>
        </w:r>
      </w:hyperlink>
    </w:p>
    <w:p w:rsidR="00057161" w:rsidRPr="00C8369E" w:rsidRDefault="00057161" w:rsidP="00057161">
      <w:pPr>
        <w:ind w:right="-347"/>
        <w:rPr>
          <w:rFonts w:ascii="Cambria" w:hAnsi="Cambria"/>
          <w:color w:val="000000" w:themeColor="text1"/>
        </w:rPr>
      </w:pPr>
    </w:p>
    <w:p w:rsidR="00057161" w:rsidRPr="00C8369E" w:rsidRDefault="00057161" w:rsidP="00057161">
      <w:pPr>
        <w:ind w:right="-347"/>
        <w:rPr>
          <w:rFonts w:ascii="Cambria" w:hAnsi="Cambria"/>
          <w:color w:val="000000" w:themeColor="text1"/>
        </w:rPr>
      </w:pPr>
      <w:r w:rsidRPr="00C8369E">
        <w:rPr>
          <w:rFonts w:ascii="Cambria" w:hAnsi="Cambria"/>
          <w:color w:val="000000" w:themeColor="text1"/>
        </w:rPr>
        <w:t>To</w:t>
      </w:r>
      <w:r>
        <w:rPr>
          <w:rFonts w:ascii="Cambria" w:hAnsi="Cambria"/>
          <w:color w:val="000000" w:themeColor="text1"/>
        </w:rPr>
        <w:t xml:space="preserve"> the Secretary</w:t>
      </w:r>
      <w:r w:rsidRPr="00C8369E">
        <w:rPr>
          <w:rFonts w:ascii="Cambria" w:hAnsi="Cambria"/>
          <w:color w:val="000000" w:themeColor="text1"/>
        </w:rPr>
        <w:t>,  </w:t>
      </w:r>
    </w:p>
    <w:p w:rsidR="00057161" w:rsidRPr="00C8369E" w:rsidRDefault="00057161" w:rsidP="00057161">
      <w:pPr>
        <w:pBdr>
          <w:bottom w:val="single" w:sz="6" w:space="1" w:color="auto"/>
        </w:pBdr>
        <w:jc w:val="both"/>
        <w:rPr>
          <w:rFonts w:ascii="Cambria" w:hAnsi="Cambria"/>
          <w:b/>
          <w:color w:val="000000" w:themeColor="text1"/>
        </w:rPr>
      </w:pPr>
      <w:r w:rsidRPr="00C8369E">
        <w:rPr>
          <w:rFonts w:ascii="Cambria" w:hAnsi="Cambria"/>
          <w:b/>
          <w:color w:val="000000" w:themeColor="text1"/>
        </w:rPr>
        <w:t xml:space="preserve">Re: </w:t>
      </w:r>
      <w:r>
        <w:rPr>
          <w:rFonts w:ascii="Cambria" w:hAnsi="Cambria"/>
          <w:b/>
          <w:bCs/>
          <w:i/>
          <w:iCs/>
          <w:color w:val="000000" w:themeColor="text1"/>
        </w:rPr>
        <w:t>Expungement of Historical Offences Amendment Bill 2024 Inquiry</w:t>
      </w:r>
    </w:p>
    <w:p w:rsidR="00057161" w:rsidRPr="00C8369E" w:rsidRDefault="00057161" w:rsidP="00057161">
      <w:pPr>
        <w:ind w:right="-64"/>
        <w:jc w:val="both"/>
        <w:rPr>
          <w:rFonts w:ascii="Cambria" w:hAnsi="Cambria"/>
          <w:color w:val="000000" w:themeColor="text1"/>
        </w:rPr>
      </w:pPr>
    </w:p>
    <w:p w:rsidR="003660C2" w:rsidRDefault="00057161" w:rsidP="00DF4B8F">
      <w:pPr>
        <w:ind w:right="-347"/>
        <w:jc w:val="both"/>
        <w:rPr>
          <w:rFonts w:ascii="Cambria" w:hAnsi="Cambria"/>
          <w:color w:val="000000" w:themeColor="text1"/>
        </w:rPr>
      </w:pPr>
      <w:r w:rsidRPr="00F65D4C">
        <w:rPr>
          <w:rFonts w:ascii="Cambria" w:hAnsi="Cambria" w:cs="Calibri"/>
          <w:color w:val="000000" w:themeColor="text1"/>
        </w:rPr>
        <w:t>Community Legal Centres Tasmania (CLC Tas)</w:t>
      </w:r>
      <w:r w:rsidRPr="00F65D4C">
        <w:rPr>
          <w:rFonts w:ascii="Cambria" w:hAnsi="Cambria"/>
          <w:color w:val="000000" w:themeColor="text1"/>
        </w:rPr>
        <w:t xml:space="preserve"> welcomes the opportunity to provide </w:t>
      </w:r>
      <w:r w:rsidR="00DB1ECF">
        <w:rPr>
          <w:rFonts w:ascii="Cambria" w:hAnsi="Cambria"/>
          <w:color w:val="000000" w:themeColor="text1"/>
        </w:rPr>
        <w:t>a response to the</w:t>
      </w:r>
      <w:r w:rsidRPr="00F65D4C">
        <w:rPr>
          <w:rFonts w:ascii="Cambria" w:hAnsi="Cambria"/>
          <w:color w:val="000000" w:themeColor="text1"/>
        </w:rPr>
        <w:t xml:space="preserve"> </w:t>
      </w:r>
      <w:r w:rsidR="00DF4B8F" w:rsidRPr="005B6723">
        <w:rPr>
          <w:rFonts w:ascii="Cambria" w:hAnsi="Cambria"/>
          <w:i/>
          <w:iCs/>
          <w:color w:val="000000" w:themeColor="text1"/>
        </w:rPr>
        <w:t>Expungement of Historical Offences Amendment Bill 2024</w:t>
      </w:r>
      <w:r w:rsidR="00DF4B8F">
        <w:rPr>
          <w:rFonts w:ascii="Cambria" w:hAnsi="Cambria"/>
          <w:color w:val="000000" w:themeColor="text1"/>
        </w:rPr>
        <w:t xml:space="preserve"> </w:t>
      </w:r>
      <w:r w:rsidR="00DB1ECF">
        <w:rPr>
          <w:rFonts w:ascii="Cambria" w:hAnsi="Cambria"/>
          <w:color w:val="000000" w:themeColor="text1"/>
        </w:rPr>
        <w:t xml:space="preserve">Inquiry </w:t>
      </w:r>
      <w:r w:rsidR="00DF4B8F">
        <w:rPr>
          <w:rFonts w:ascii="Cambria" w:hAnsi="Cambria"/>
          <w:color w:val="000000" w:themeColor="text1"/>
        </w:rPr>
        <w:t>(‘the</w:t>
      </w:r>
      <w:r w:rsidR="00DB1ECF">
        <w:rPr>
          <w:rFonts w:ascii="Cambria" w:hAnsi="Cambria"/>
          <w:color w:val="000000" w:themeColor="text1"/>
        </w:rPr>
        <w:t xml:space="preserve"> Inquiry</w:t>
      </w:r>
      <w:r w:rsidR="00DF4B8F">
        <w:rPr>
          <w:rFonts w:ascii="Cambria" w:hAnsi="Cambria"/>
          <w:color w:val="000000" w:themeColor="text1"/>
        </w:rPr>
        <w:t>’)</w:t>
      </w:r>
      <w:r w:rsidRPr="00F65D4C">
        <w:rPr>
          <w:rFonts w:ascii="Cambria" w:hAnsi="Cambria"/>
          <w:color w:val="000000" w:themeColor="text1"/>
        </w:rPr>
        <w:t>.</w:t>
      </w:r>
      <w:r w:rsidRPr="00F65D4C">
        <w:rPr>
          <w:rStyle w:val="FootnoteReference"/>
          <w:rFonts w:ascii="Cambria" w:hAnsi="Cambria"/>
          <w:color w:val="000000" w:themeColor="text1"/>
        </w:rPr>
        <w:footnoteReference w:id="1"/>
      </w:r>
      <w:r w:rsidR="00DB1ECF">
        <w:rPr>
          <w:rFonts w:ascii="Cambria" w:hAnsi="Cambria"/>
          <w:color w:val="000000" w:themeColor="text1"/>
        </w:rPr>
        <w:t xml:space="preserve"> </w:t>
      </w:r>
      <w:r w:rsidR="003660C2">
        <w:rPr>
          <w:rFonts w:ascii="Cambria" w:hAnsi="Cambria"/>
          <w:color w:val="000000" w:themeColor="text1"/>
        </w:rPr>
        <w:t xml:space="preserve">The Inquiry </w:t>
      </w:r>
      <w:r w:rsidR="003E590E">
        <w:rPr>
          <w:rFonts w:ascii="Cambria" w:hAnsi="Cambria"/>
          <w:color w:val="000000" w:themeColor="text1"/>
        </w:rPr>
        <w:t>follows the passing of an</w:t>
      </w:r>
      <w:r w:rsidR="003660C2">
        <w:rPr>
          <w:rFonts w:ascii="Cambria" w:hAnsi="Cambria"/>
          <w:color w:val="000000" w:themeColor="text1"/>
        </w:rPr>
        <w:t xml:space="preserve"> amendment</w:t>
      </w:r>
      <w:r w:rsidR="003E590E">
        <w:rPr>
          <w:rFonts w:ascii="Cambria" w:hAnsi="Cambria"/>
          <w:color w:val="000000" w:themeColor="text1"/>
        </w:rPr>
        <w:t xml:space="preserve"> </w:t>
      </w:r>
      <w:r w:rsidR="003660C2">
        <w:rPr>
          <w:rFonts w:ascii="Cambria" w:hAnsi="Cambria"/>
          <w:color w:val="000000" w:themeColor="text1"/>
        </w:rPr>
        <w:t xml:space="preserve">in the House of Assembly to </w:t>
      </w:r>
      <w:r w:rsidR="003E590E">
        <w:rPr>
          <w:rFonts w:ascii="Cambria" w:hAnsi="Cambria"/>
          <w:color w:val="000000" w:themeColor="text1"/>
        </w:rPr>
        <w:t xml:space="preserve">appoint an independent assessor and </w:t>
      </w:r>
      <w:r w:rsidR="003660C2">
        <w:rPr>
          <w:rFonts w:ascii="Cambria" w:hAnsi="Cambria"/>
          <w:color w:val="000000" w:themeColor="text1"/>
        </w:rPr>
        <w:t xml:space="preserve">provide </w:t>
      </w:r>
      <w:r w:rsidR="003E590E">
        <w:rPr>
          <w:rFonts w:ascii="Cambria" w:hAnsi="Cambria"/>
          <w:color w:val="000000" w:themeColor="text1"/>
        </w:rPr>
        <w:t xml:space="preserve">compensation for persons who had criminal sanctions imposed on them based on their sexual orientation.  </w:t>
      </w:r>
      <w:r w:rsidR="003660C2">
        <w:rPr>
          <w:rFonts w:ascii="Cambria" w:hAnsi="Cambria"/>
          <w:color w:val="000000" w:themeColor="text1"/>
        </w:rPr>
        <w:t xml:space="preserve"> </w:t>
      </w:r>
    </w:p>
    <w:p w:rsidR="00D65E91" w:rsidRDefault="00D65E91" w:rsidP="00DF4B8F">
      <w:pPr>
        <w:ind w:right="-347"/>
        <w:jc w:val="both"/>
        <w:rPr>
          <w:rFonts w:ascii="Cambria" w:hAnsi="Cambria"/>
          <w:color w:val="000000" w:themeColor="text1"/>
        </w:rPr>
      </w:pPr>
    </w:p>
    <w:p w:rsidR="00DF4B8F" w:rsidRDefault="00DF4B8F" w:rsidP="00DF4B8F">
      <w:pPr>
        <w:ind w:right="-347"/>
        <w:jc w:val="both"/>
        <w:rPr>
          <w:rFonts w:ascii="Cambria" w:hAnsi="Cambria" w:cs="Arial"/>
          <w:color w:val="000000" w:themeColor="text1"/>
        </w:rPr>
      </w:pPr>
      <w:r w:rsidRPr="00C8369E">
        <w:rPr>
          <w:rFonts w:ascii="Cambria" w:hAnsi="Cambria" w:cs="Arial"/>
          <w:color w:val="000000" w:themeColor="text1"/>
        </w:rPr>
        <w:t>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p>
    <w:p w:rsidR="00DF4B8F" w:rsidRDefault="00DF4B8F" w:rsidP="00DF4B8F">
      <w:pPr>
        <w:ind w:right="-347"/>
        <w:jc w:val="both"/>
        <w:rPr>
          <w:rFonts w:ascii="Cambria" w:hAnsi="Cambria" w:cs="Arial"/>
          <w:color w:val="000000" w:themeColor="text1"/>
        </w:rPr>
      </w:pPr>
    </w:p>
    <w:p w:rsidR="00E37FDD" w:rsidRDefault="00DF4B8F" w:rsidP="006669C8">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In</w:t>
      </w:r>
      <w:r>
        <w:rPr>
          <w:rStyle w:val="xcontentpasted0"/>
          <w:rFonts w:ascii="Cambria" w:hAnsi="Cambria"/>
          <w:color w:val="000000" w:themeColor="text1"/>
          <w:bdr w:val="none" w:sz="0" w:space="0" w:color="auto" w:frame="1"/>
        </w:rPr>
        <w:t xml:space="preserve"> 2017</w:t>
      </w:r>
      <w:r w:rsidRPr="003020EF">
        <w:rPr>
          <w:rStyle w:val="xcontentpasted0"/>
          <w:rFonts w:ascii="Cambria" w:hAnsi="Cambria"/>
          <w:color w:val="000000" w:themeColor="text1"/>
          <w:bdr w:val="none" w:sz="0" w:space="0" w:color="auto" w:frame="1"/>
        </w:rPr>
        <w:t xml:space="preserve">, Tasmania passed the </w:t>
      </w:r>
      <w:r w:rsidRPr="003020EF">
        <w:rPr>
          <w:rStyle w:val="xcontentpasted0"/>
          <w:rFonts w:ascii="Cambria" w:hAnsi="Cambria"/>
          <w:i/>
          <w:iCs/>
          <w:color w:val="000000" w:themeColor="text1"/>
          <w:bdr w:val="none" w:sz="0" w:space="0" w:color="auto" w:frame="1"/>
        </w:rPr>
        <w:t>Expungement of Historical Offences Act 2017</w:t>
      </w:r>
      <w:r w:rsidRPr="003020EF">
        <w:rPr>
          <w:rStyle w:val="xcontentpasted0"/>
          <w:rFonts w:ascii="Cambria" w:hAnsi="Cambria"/>
          <w:color w:val="000000" w:themeColor="text1"/>
          <w:bdr w:val="none" w:sz="0" w:space="0" w:color="auto" w:frame="1"/>
        </w:rPr>
        <w:t> (Tas)</w:t>
      </w:r>
      <w:r w:rsidR="006669C8">
        <w:rPr>
          <w:rStyle w:val="xcontentpasted0"/>
          <w:rFonts w:ascii="Cambria" w:hAnsi="Cambria"/>
          <w:color w:val="000000" w:themeColor="text1"/>
          <w:bdr w:val="none" w:sz="0" w:space="0" w:color="auto" w:frame="1"/>
        </w:rPr>
        <w:t xml:space="preserve"> (‘the Act’)</w:t>
      </w:r>
      <w:r w:rsidRPr="003020EF">
        <w:rPr>
          <w:rStyle w:val="xcontentpasted0"/>
          <w:rFonts w:ascii="Cambria" w:hAnsi="Cambria"/>
          <w:color w:val="000000" w:themeColor="text1"/>
          <w:bdr w:val="none" w:sz="0" w:space="0" w:color="auto" w:frame="1"/>
        </w:rPr>
        <w:t>. The Act recognises that homosexuality and cross-dressing should never have been crimes and that those who were charged and had historical convictions for these offences should have the opportunity to have them expunged from their criminal record. During his Second Reading Speech,</w:t>
      </w:r>
      <w:r w:rsidRPr="003020EF">
        <w:rPr>
          <w:rFonts w:ascii="Cambria" w:hAnsi="Cambria"/>
          <w:color w:val="000000" w:themeColor="text1"/>
        </w:rPr>
        <w:t xml:space="preserve"> the Attorney-General Matthew Groom MP identified the Bill as an important step in addressing the legacy of old homophobic laws, acknowledging that “many Tasmanians have continued to suffer from distress and disadvantage resulting from the criminalisation of conduct that we now accept as lawful”.</w:t>
      </w:r>
      <w:r w:rsidRPr="003020EF">
        <w:rPr>
          <w:rStyle w:val="FootnoteReference"/>
          <w:rFonts w:ascii="Cambria" w:hAnsi="Cambria"/>
          <w:color w:val="000000" w:themeColor="text1"/>
        </w:rPr>
        <w:footnoteReference w:id="2"/>
      </w:r>
      <w:r w:rsidRPr="003020EF">
        <w:rPr>
          <w:rFonts w:ascii="Cambria" w:hAnsi="Cambria"/>
          <w:color w:val="000000" w:themeColor="text1"/>
        </w:rPr>
        <w:t xml:space="preserve"> </w:t>
      </w:r>
      <w:r w:rsidRPr="003020EF">
        <w:rPr>
          <w:rStyle w:val="xcontentpasted0"/>
          <w:rFonts w:ascii="Cambria" w:hAnsi="Cambria"/>
          <w:color w:val="000000" w:themeColor="text1"/>
          <w:bdr w:val="none" w:sz="0" w:space="0" w:color="auto" w:frame="1"/>
        </w:rPr>
        <w:t xml:space="preserve"> </w:t>
      </w:r>
    </w:p>
    <w:p w:rsidR="00E37FDD" w:rsidRDefault="00E37FDD" w:rsidP="006669C8">
      <w:pPr>
        <w:ind w:right="-347"/>
        <w:jc w:val="both"/>
        <w:rPr>
          <w:rStyle w:val="xcontentpasted0"/>
          <w:rFonts w:ascii="Cambria" w:hAnsi="Cambria"/>
          <w:color w:val="000000" w:themeColor="text1"/>
          <w:bdr w:val="none" w:sz="0" w:space="0" w:color="auto" w:frame="1"/>
        </w:rPr>
      </w:pPr>
    </w:p>
    <w:p w:rsidR="00A01D54" w:rsidRDefault="006669C8" w:rsidP="006669C8">
      <w:pPr>
        <w:ind w:right="-347"/>
        <w:jc w:val="both"/>
        <w:rPr>
          <w:rStyle w:val="xcontentpasted0"/>
          <w:rFonts w:ascii="Cambria" w:hAnsi="Cambria"/>
          <w:color w:val="000000" w:themeColor="text1"/>
          <w:bdr w:val="none" w:sz="0" w:space="0" w:color="auto" w:frame="1"/>
        </w:rPr>
      </w:pPr>
      <w:r w:rsidRPr="00245C6B">
        <w:rPr>
          <w:rStyle w:val="xcontentpasted0"/>
          <w:rFonts w:ascii="Cambria" w:hAnsi="Cambria"/>
          <w:color w:val="000000" w:themeColor="text1"/>
          <w:bdr w:val="none" w:sz="0" w:space="0" w:color="auto" w:frame="1"/>
        </w:rPr>
        <w:t>In 2020</w:t>
      </w:r>
      <w:r w:rsidR="00245C6B" w:rsidRPr="00245C6B">
        <w:rPr>
          <w:rStyle w:val="xcontentpasted0"/>
          <w:rFonts w:ascii="Cambria" w:hAnsi="Cambria"/>
          <w:color w:val="000000" w:themeColor="text1"/>
          <w:bdr w:val="none" w:sz="0" w:space="0" w:color="auto" w:frame="1"/>
        </w:rPr>
        <w:t xml:space="preserve">, the </w:t>
      </w:r>
      <w:r w:rsidR="00245C6B" w:rsidRPr="00245C6B">
        <w:rPr>
          <w:rStyle w:val="xcontentpasted0"/>
          <w:rFonts w:ascii="Cambria" w:hAnsi="Cambria"/>
          <w:i/>
          <w:iCs/>
          <w:color w:val="000000"/>
          <w:bdr w:val="none" w:sz="0" w:space="0" w:color="auto" w:frame="1"/>
        </w:rPr>
        <w:t>Independent Review of Expungement of Historical Offences Act 2017</w:t>
      </w:r>
      <w:r w:rsidR="00245C6B" w:rsidRPr="00245C6B">
        <w:rPr>
          <w:rStyle w:val="xcontentpasted0"/>
          <w:rFonts w:ascii="Cambria" w:hAnsi="Cambria"/>
          <w:i/>
          <w:iCs/>
          <w:color w:val="000000"/>
          <w:bdr w:val="none" w:sz="0" w:space="0" w:color="auto" w:frame="1"/>
        </w:rPr>
        <w:t xml:space="preserve"> </w:t>
      </w:r>
      <w:r w:rsidR="00245C6B" w:rsidRPr="00245C6B">
        <w:rPr>
          <w:rStyle w:val="xcontentpasted0"/>
          <w:rFonts w:ascii="Cambria" w:hAnsi="Cambria"/>
          <w:color w:val="000000"/>
          <w:bdr w:val="none" w:sz="0" w:space="0" w:color="auto" w:frame="1"/>
        </w:rPr>
        <w:t xml:space="preserve">(‘the independent review’) </w:t>
      </w:r>
      <w:r w:rsidR="00E37FDD" w:rsidRPr="00245C6B">
        <w:rPr>
          <w:rStyle w:val="xcontentpasted0"/>
          <w:rFonts w:ascii="Cambria" w:hAnsi="Cambria"/>
          <w:color w:val="000000" w:themeColor="text1"/>
          <w:bdr w:val="none" w:sz="0" w:space="0" w:color="auto" w:frame="1"/>
        </w:rPr>
        <w:t>recognised the significant</w:t>
      </w:r>
      <w:r w:rsidR="00390C6C" w:rsidRPr="00245C6B">
        <w:rPr>
          <w:rStyle w:val="xcontentpasted0"/>
          <w:rFonts w:ascii="Cambria" w:hAnsi="Cambria"/>
          <w:color w:val="000000" w:themeColor="text1"/>
          <w:bdr w:val="none" w:sz="0" w:space="0" w:color="auto" w:frame="1"/>
        </w:rPr>
        <w:t xml:space="preserve"> impact</w:t>
      </w:r>
      <w:r w:rsidR="00E37FDD" w:rsidRPr="00245C6B">
        <w:rPr>
          <w:rStyle w:val="xcontentpasted0"/>
          <w:rFonts w:ascii="Cambria" w:hAnsi="Cambria"/>
          <w:color w:val="000000" w:themeColor="text1"/>
          <w:bdr w:val="none" w:sz="0" w:space="0" w:color="auto" w:frame="1"/>
        </w:rPr>
        <w:t xml:space="preserve"> </w:t>
      </w:r>
      <w:r w:rsidR="00390C6C" w:rsidRPr="00245C6B">
        <w:rPr>
          <w:rStyle w:val="xcontentpasted0"/>
          <w:rFonts w:ascii="Cambria" w:hAnsi="Cambria"/>
          <w:color w:val="000000" w:themeColor="text1"/>
          <w:bdr w:val="none" w:sz="0" w:space="0" w:color="auto" w:frame="1"/>
        </w:rPr>
        <w:t xml:space="preserve">the State can </w:t>
      </w:r>
      <w:r w:rsidR="00E37FDD" w:rsidRPr="00245C6B">
        <w:rPr>
          <w:rStyle w:val="xcontentpasted0"/>
          <w:rFonts w:ascii="Cambria" w:hAnsi="Cambria"/>
          <w:color w:val="000000" w:themeColor="text1"/>
          <w:bdr w:val="none" w:sz="0" w:space="0" w:color="auto" w:frame="1"/>
        </w:rPr>
        <w:t>have in acknowledging and attempting to rectify past wrongs</w:t>
      </w:r>
      <w:r w:rsidR="00A01D54" w:rsidRPr="00245C6B">
        <w:rPr>
          <w:rStyle w:val="xcontentpasted0"/>
          <w:rFonts w:ascii="Cambria" w:hAnsi="Cambria"/>
          <w:color w:val="000000" w:themeColor="text1"/>
          <w:bdr w:val="none" w:sz="0" w:space="0" w:color="auto" w:frame="1"/>
        </w:rPr>
        <w:t xml:space="preserve"> </w:t>
      </w:r>
      <w:r w:rsidRPr="00245C6B">
        <w:rPr>
          <w:rStyle w:val="xcontentpasted0"/>
          <w:rFonts w:ascii="Cambria" w:hAnsi="Cambria"/>
          <w:color w:val="000000" w:themeColor="text1"/>
          <w:bdr w:val="none" w:sz="0" w:space="0" w:color="auto" w:frame="1"/>
        </w:rPr>
        <w:t>not</w:t>
      </w:r>
      <w:r w:rsidR="00A01D54" w:rsidRPr="00245C6B">
        <w:rPr>
          <w:rStyle w:val="xcontentpasted0"/>
          <w:rFonts w:ascii="Cambria" w:hAnsi="Cambria"/>
          <w:color w:val="000000" w:themeColor="text1"/>
          <w:bdr w:val="none" w:sz="0" w:space="0" w:color="auto" w:frame="1"/>
        </w:rPr>
        <w:t>ing</w:t>
      </w:r>
      <w:r w:rsidRPr="00245C6B">
        <w:rPr>
          <w:rStyle w:val="xcontentpasted0"/>
          <w:rFonts w:ascii="Cambria" w:hAnsi="Cambria"/>
          <w:color w:val="000000" w:themeColor="text1"/>
          <w:bdr w:val="none" w:sz="0" w:space="0" w:color="auto" w:frame="1"/>
        </w:rPr>
        <w:t xml:space="preserve"> that “compensation confirms the expressed wish of Parliament in enacting this legislation that it was intended to send a compelling </w:t>
      </w:r>
      <w:r w:rsidRPr="00245C6B">
        <w:rPr>
          <w:rStyle w:val="xcontentpasted0"/>
          <w:rFonts w:ascii="Cambria" w:hAnsi="Cambria"/>
          <w:color w:val="000000" w:themeColor="text1"/>
          <w:bdr w:val="none" w:sz="0" w:space="0" w:color="auto" w:frame="1"/>
        </w:rPr>
        <w:lastRenderedPageBreak/>
        <w:t>message that the state is serious in its</w:t>
      </w:r>
      <w:r w:rsidRPr="003020EF">
        <w:rPr>
          <w:rStyle w:val="xcontentpasted0"/>
          <w:rFonts w:ascii="Cambria" w:hAnsi="Cambria"/>
          <w:color w:val="000000" w:themeColor="text1"/>
          <w:bdr w:val="none" w:sz="0" w:space="0" w:color="auto" w:frame="1"/>
        </w:rPr>
        <w:t xml:space="preserve"> commitment to remedy, to the extent that it can, the discrimination against, and distress and harm experienced by, Tasmanians in this context”.</w:t>
      </w:r>
      <w:r w:rsidRPr="003020EF">
        <w:rPr>
          <w:rStyle w:val="FootnoteReference"/>
          <w:rFonts w:ascii="Cambria" w:hAnsi="Cambria"/>
          <w:color w:val="000000" w:themeColor="text1"/>
          <w:bdr w:val="none" w:sz="0" w:space="0" w:color="auto" w:frame="1"/>
        </w:rPr>
        <w:footnoteReference w:id="3"/>
      </w:r>
      <w:r w:rsidRPr="003020EF">
        <w:rPr>
          <w:rStyle w:val="xcontentpasted0"/>
          <w:rFonts w:ascii="Cambria" w:hAnsi="Cambria"/>
          <w:color w:val="000000" w:themeColor="text1"/>
          <w:bdr w:val="none" w:sz="0" w:space="0" w:color="auto" w:frame="1"/>
        </w:rPr>
        <w:t xml:space="preserve"> </w:t>
      </w:r>
    </w:p>
    <w:p w:rsidR="00A1633C" w:rsidRDefault="00A1633C" w:rsidP="006669C8">
      <w:pPr>
        <w:ind w:right="-347"/>
        <w:jc w:val="both"/>
        <w:rPr>
          <w:rStyle w:val="xcontentpasted0"/>
          <w:rFonts w:ascii="Cambria" w:hAnsi="Cambria"/>
          <w:color w:val="000000" w:themeColor="text1"/>
          <w:bdr w:val="none" w:sz="0" w:space="0" w:color="auto" w:frame="1"/>
        </w:rPr>
      </w:pPr>
    </w:p>
    <w:p w:rsidR="00A1633C" w:rsidRDefault="00A1633C" w:rsidP="006669C8">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t>The independent review recommended that compensation be made available:</w:t>
      </w:r>
    </w:p>
    <w:p w:rsidR="00A1633C" w:rsidRDefault="00A1633C" w:rsidP="006669C8">
      <w:pPr>
        <w:ind w:right="-347"/>
        <w:jc w:val="both"/>
        <w:rPr>
          <w:rStyle w:val="xcontentpasted0"/>
          <w:rFonts w:ascii="Cambria" w:hAnsi="Cambria"/>
          <w:color w:val="000000" w:themeColor="text1"/>
          <w:bdr w:val="none" w:sz="0" w:space="0" w:color="auto" w:frame="1"/>
        </w:rPr>
      </w:pPr>
    </w:p>
    <w:p w:rsidR="00A1633C" w:rsidRPr="00775462" w:rsidRDefault="00A1633C" w:rsidP="00775462">
      <w:pPr>
        <w:ind w:left="720" w:right="-347"/>
        <w:jc w:val="both"/>
        <w:rPr>
          <w:rStyle w:val="xcontentpasted0"/>
          <w:rFonts w:ascii="Cambria" w:hAnsi="Cambria"/>
          <w:b/>
          <w:bCs/>
          <w:i/>
          <w:iCs/>
          <w:color w:val="000000" w:themeColor="text1"/>
          <w:sz w:val="23"/>
          <w:szCs w:val="23"/>
          <w:bdr w:val="none" w:sz="0" w:space="0" w:color="auto" w:frame="1"/>
        </w:rPr>
      </w:pPr>
      <w:r w:rsidRPr="00775462">
        <w:rPr>
          <w:rStyle w:val="xcontentpasted0"/>
          <w:rFonts w:ascii="Cambria" w:hAnsi="Cambria"/>
          <w:b/>
          <w:bCs/>
          <w:i/>
          <w:iCs/>
          <w:color w:val="000000" w:themeColor="text1"/>
          <w:sz w:val="23"/>
          <w:szCs w:val="23"/>
          <w:bdr w:val="none" w:sz="0" w:space="0" w:color="auto" w:frame="1"/>
        </w:rPr>
        <w:t xml:space="preserve">Recommendation 13 </w:t>
      </w:r>
    </w:p>
    <w:p w:rsidR="00A1633C" w:rsidRPr="00775462" w:rsidRDefault="00A1633C" w:rsidP="00775462">
      <w:pPr>
        <w:ind w:left="720" w:right="-347"/>
        <w:jc w:val="both"/>
        <w:rPr>
          <w:rStyle w:val="xcontentpasted0"/>
          <w:rFonts w:ascii="Cambria" w:hAnsi="Cambria"/>
          <w:i/>
          <w:iCs/>
          <w:color w:val="000000" w:themeColor="text1"/>
          <w:sz w:val="23"/>
          <w:szCs w:val="23"/>
          <w:bdr w:val="none" w:sz="0" w:space="0" w:color="auto" w:frame="1"/>
        </w:rPr>
      </w:pPr>
      <w:r w:rsidRPr="00775462">
        <w:rPr>
          <w:rStyle w:val="xcontentpasted0"/>
          <w:rFonts w:ascii="Cambria" w:hAnsi="Cambria"/>
          <w:i/>
          <w:iCs/>
          <w:color w:val="000000" w:themeColor="text1"/>
          <w:sz w:val="23"/>
          <w:szCs w:val="23"/>
          <w:bdr w:val="none" w:sz="0" w:space="0" w:color="auto" w:frame="1"/>
        </w:rPr>
        <w:t>The Independent Reviewers recommend that a payment should be made available for those whose records are expunged under the Act. The Independent Reviewers recommend that the Government introduces a one-off ex-gratia payment of a fixed amount as acknowledgement and redress for applicants who have charges and convictions expunged under the Act. This payment should be available automatically on the finalisation of an application in which the Secretary has determined to expunge any charge or conviction. It should not involve a hearing and should be an amount determined by the Government to be appropriate.</w:t>
      </w:r>
    </w:p>
    <w:p w:rsidR="00A1633C" w:rsidRPr="00775462" w:rsidRDefault="00A1633C" w:rsidP="00775462">
      <w:pPr>
        <w:ind w:left="720" w:right="-347"/>
        <w:jc w:val="both"/>
        <w:rPr>
          <w:rStyle w:val="xcontentpasted0"/>
          <w:rFonts w:ascii="Cambria" w:hAnsi="Cambria"/>
          <w:i/>
          <w:iCs/>
          <w:color w:val="000000" w:themeColor="text1"/>
          <w:sz w:val="23"/>
          <w:szCs w:val="23"/>
          <w:bdr w:val="none" w:sz="0" w:space="0" w:color="auto" w:frame="1"/>
        </w:rPr>
      </w:pPr>
    </w:p>
    <w:p w:rsidR="00A1633C" w:rsidRPr="00775462" w:rsidRDefault="00A1633C" w:rsidP="00775462">
      <w:pPr>
        <w:ind w:left="720" w:right="-347"/>
        <w:jc w:val="both"/>
        <w:rPr>
          <w:rStyle w:val="xcontentpasted0"/>
          <w:rFonts w:ascii="Cambria" w:hAnsi="Cambria"/>
          <w:i/>
          <w:iCs/>
          <w:color w:val="000000" w:themeColor="text1"/>
          <w:sz w:val="23"/>
          <w:szCs w:val="23"/>
          <w:bdr w:val="none" w:sz="0" w:space="0" w:color="auto" w:frame="1"/>
        </w:rPr>
      </w:pPr>
      <w:r w:rsidRPr="00775462">
        <w:rPr>
          <w:rStyle w:val="xcontentpasted0"/>
          <w:rFonts w:ascii="Cambria" w:hAnsi="Cambria"/>
          <w:i/>
          <w:iCs/>
          <w:color w:val="000000" w:themeColor="text1"/>
          <w:sz w:val="23"/>
          <w:szCs w:val="23"/>
          <w:bdr w:val="none" w:sz="0" w:space="0" w:color="auto" w:frame="1"/>
        </w:rPr>
        <w:t>In considering any such proposal for redress, the Independent Reviewers suggest that the Government consider a two-tiered payment structure; one payment for applicants who have conviction/s or charge/s actually recorded on their official criminal record which is or are expunged, and a second, smaller payment, to applicants who have a charge expunged which did not appear on their criminal record. This distinction recognises that, whilst all applicants whose records are expunged should be acknowledged, a person who has had a conviction or charge recorded on their criminal record is more likely to have encountered discrimination arising from this record than a person who was charged, but the charge did not proceed and consequently does not appear on their official criminal record.</w:t>
      </w:r>
    </w:p>
    <w:p w:rsidR="003E590E" w:rsidRDefault="003E590E" w:rsidP="006669C8">
      <w:pPr>
        <w:ind w:right="-347"/>
        <w:jc w:val="both"/>
        <w:rPr>
          <w:rStyle w:val="xcontentpasted0"/>
          <w:rFonts w:ascii="Cambria" w:hAnsi="Cambria"/>
          <w:color w:val="000000" w:themeColor="text1"/>
          <w:bdr w:val="none" w:sz="0" w:space="0" w:color="auto" w:frame="1"/>
        </w:rPr>
      </w:pPr>
    </w:p>
    <w:p w:rsidR="00A1633C" w:rsidRPr="00A1633C" w:rsidRDefault="00A1633C" w:rsidP="006669C8">
      <w:pPr>
        <w:ind w:right="-347"/>
        <w:jc w:val="both"/>
        <w:rPr>
          <w:rStyle w:val="xcontentpasted0"/>
          <w:rFonts w:ascii="Cambria" w:hAnsi="Cambria"/>
          <w:b/>
          <w:bCs/>
          <w:color w:val="000000" w:themeColor="text1"/>
          <w:bdr w:val="none" w:sz="0" w:space="0" w:color="auto" w:frame="1"/>
        </w:rPr>
      </w:pPr>
      <w:r w:rsidRPr="00A1633C">
        <w:rPr>
          <w:rStyle w:val="xcontentpasted0"/>
          <w:rFonts w:ascii="Cambria" w:hAnsi="Cambria"/>
          <w:b/>
          <w:bCs/>
          <w:color w:val="000000" w:themeColor="text1"/>
          <w:bdr w:val="none" w:sz="0" w:space="0" w:color="auto" w:frame="1"/>
        </w:rPr>
        <w:t>Why Tasmania should pay redress</w:t>
      </w:r>
    </w:p>
    <w:p w:rsidR="006669C8" w:rsidRPr="003020EF" w:rsidRDefault="006669C8" w:rsidP="006669C8">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Although there is no expungement scheme in any Australian jurisdiction which provides for redress there are a number of compelling reasons why Tasmania should be the first. These reasons include that Tasmania was the last Australian State to decriminalise homosexuality and the only state to previously criminalise cross-dressing. This has left a legacy of stigma and discrimination that is more recent than other states.</w:t>
      </w:r>
      <w:r w:rsidRPr="003020EF">
        <w:rPr>
          <w:rFonts w:ascii="Cambria" w:hAnsi="Cambria" w:cs="Calibri"/>
          <w:color w:val="000000" w:themeColor="text1"/>
          <w:bdr w:val="none" w:sz="0" w:space="0" w:color="auto" w:frame="1"/>
        </w:rPr>
        <w:t xml:space="preserve"> </w:t>
      </w:r>
      <w:r w:rsidRPr="003020EF">
        <w:rPr>
          <w:rStyle w:val="xcontentpasted0"/>
          <w:rFonts w:ascii="Cambria" w:hAnsi="Cambria"/>
          <w:color w:val="000000" w:themeColor="text1"/>
          <w:bdr w:val="none" w:sz="0" w:space="0" w:color="auto" w:frame="1"/>
        </w:rPr>
        <w:t xml:space="preserve">As the </w:t>
      </w:r>
      <w:r w:rsidR="000A5ED7">
        <w:rPr>
          <w:rStyle w:val="xcontentpasted0"/>
          <w:rFonts w:ascii="Cambria" w:hAnsi="Cambria"/>
          <w:color w:val="000000" w:themeColor="text1"/>
          <w:bdr w:val="none" w:sz="0" w:space="0" w:color="auto" w:frame="1"/>
        </w:rPr>
        <w:t>former</w:t>
      </w:r>
      <w:r w:rsidRPr="003020EF">
        <w:rPr>
          <w:rStyle w:val="xcontentpasted0"/>
          <w:rFonts w:ascii="Cambria" w:hAnsi="Cambria"/>
          <w:color w:val="000000" w:themeColor="text1"/>
          <w:bdr w:val="none" w:sz="0" w:space="0" w:color="auto" w:frame="1"/>
        </w:rPr>
        <w:t xml:space="preserve"> Anti-Discrimination Commissioner Robin Banks has noted:</w:t>
      </w:r>
      <w:r w:rsidRPr="003020EF">
        <w:rPr>
          <w:rStyle w:val="FootnoteReference"/>
          <w:rFonts w:ascii="Cambria" w:hAnsi="Cambria"/>
          <w:color w:val="000000" w:themeColor="text1"/>
          <w:bdr w:val="none" w:sz="0" w:space="0" w:color="auto" w:frame="1"/>
        </w:rPr>
        <w:footnoteReference w:id="4"/>
      </w:r>
    </w:p>
    <w:p w:rsidR="006669C8" w:rsidRPr="003020EF" w:rsidRDefault="006669C8" w:rsidP="006669C8">
      <w:pPr>
        <w:ind w:right="-347"/>
        <w:jc w:val="both"/>
        <w:rPr>
          <w:rStyle w:val="xcontentpasted0"/>
          <w:rFonts w:ascii="Cambria" w:hAnsi="Cambria"/>
          <w:color w:val="000000" w:themeColor="text1"/>
          <w:bdr w:val="none" w:sz="0" w:space="0" w:color="auto" w:frame="1"/>
        </w:rPr>
      </w:pPr>
    </w:p>
    <w:p w:rsidR="006669C8" w:rsidRPr="003020EF" w:rsidRDefault="006669C8" w:rsidP="006669C8">
      <w:pPr>
        <w:ind w:left="720" w:right="-347"/>
        <w:jc w:val="both"/>
        <w:rPr>
          <w:rStyle w:val="xcontentpasted0"/>
          <w:rFonts w:ascii="Cambria" w:hAnsi="Cambria"/>
          <w:i/>
          <w:iCs/>
          <w:color w:val="000000" w:themeColor="text1"/>
          <w:bdr w:val="none" w:sz="0" w:space="0" w:color="auto" w:frame="1"/>
        </w:rPr>
      </w:pPr>
      <w:r w:rsidRPr="003020EF">
        <w:rPr>
          <w:rStyle w:val="xcontentpasted0"/>
          <w:rFonts w:ascii="Cambria" w:hAnsi="Cambria"/>
          <w:i/>
          <w:iCs/>
          <w:color w:val="000000" w:themeColor="text1"/>
          <w:bdr w:val="none" w:sz="0" w:space="0" w:color="auto" w:frame="1"/>
        </w:rPr>
        <w:t xml:space="preserve">The removal of criminal sanctions against homosexuality in 1997 was the culmination of a decade-long battle to remove one of the last bastions of discrimination and finally bring Tasmania into line with other Australian jurisdictions.  </w:t>
      </w:r>
    </w:p>
    <w:p w:rsidR="006669C8" w:rsidRPr="003020EF" w:rsidRDefault="006669C8" w:rsidP="006669C8">
      <w:pPr>
        <w:ind w:right="-347"/>
        <w:jc w:val="both"/>
        <w:rPr>
          <w:rStyle w:val="xcontentpasted0"/>
          <w:rFonts w:ascii="Cambria" w:hAnsi="Cambria"/>
          <w:color w:val="000000" w:themeColor="text1"/>
          <w:bdr w:val="none" w:sz="0" w:space="0" w:color="auto" w:frame="1"/>
        </w:rPr>
      </w:pPr>
    </w:p>
    <w:p w:rsidR="006669C8" w:rsidRPr="003020EF" w:rsidRDefault="006669C8" w:rsidP="006669C8">
      <w:pPr>
        <w:ind w:right="-347"/>
        <w:jc w:val="both"/>
        <w:rPr>
          <w:rStyle w:val="xcontentpasted0"/>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 xml:space="preserve">In the six years the Act has been in operation, no eligible applications have resulted in the expungement of any record. As a result, the </w:t>
      </w:r>
      <w:r w:rsidR="000A5ED7">
        <w:rPr>
          <w:rStyle w:val="xcontentpasted0"/>
          <w:rFonts w:ascii="Cambria" w:hAnsi="Cambria"/>
          <w:color w:val="000000" w:themeColor="text1"/>
          <w:bdr w:val="none" w:sz="0" w:space="0" w:color="auto" w:frame="1"/>
        </w:rPr>
        <w:t>payment of</w:t>
      </w:r>
      <w:r w:rsidRPr="003020EF">
        <w:rPr>
          <w:rStyle w:val="xcontentpasted0"/>
          <w:rFonts w:ascii="Cambria" w:hAnsi="Cambria"/>
          <w:color w:val="000000" w:themeColor="text1"/>
          <w:bdr w:val="none" w:sz="0" w:space="0" w:color="auto" w:frame="1"/>
        </w:rPr>
        <w:t xml:space="preserve"> </w:t>
      </w:r>
      <w:r w:rsidR="000A5ED7">
        <w:rPr>
          <w:rStyle w:val="xcontentpasted0"/>
          <w:rFonts w:ascii="Cambria" w:hAnsi="Cambria"/>
          <w:color w:val="000000" w:themeColor="text1"/>
          <w:bdr w:val="none" w:sz="0" w:space="0" w:color="auto" w:frame="1"/>
        </w:rPr>
        <w:t>compensation</w:t>
      </w:r>
      <w:r w:rsidRPr="003020EF">
        <w:rPr>
          <w:rStyle w:val="xcontentpasted0"/>
          <w:rFonts w:ascii="Cambria" w:hAnsi="Cambria"/>
          <w:color w:val="000000" w:themeColor="text1"/>
          <w:bdr w:val="none" w:sz="0" w:space="0" w:color="auto" w:frame="1"/>
        </w:rPr>
        <w:t xml:space="preserve"> to eligible applicants will not exhaust the state’s resources but would send a strong message that conviction-related stigma and discrimination against LGBTQIA+ persons is taken seriously. </w:t>
      </w:r>
    </w:p>
    <w:p w:rsidR="006669C8" w:rsidRPr="003020EF" w:rsidRDefault="006669C8" w:rsidP="006669C8">
      <w:pPr>
        <w:ind w:right="-347"/>
        <w:jc w:val="both"/>
        <w:rPr>
          <w:rStyle w:val="xcontentpasted0"/>
          <w:rFonts w:ascii="Cambria" w:hAnsi="Cambria"/>
          <w:color w:val="000000" w:themeColor="text1"/>
          <w:bdr w:val="none" w:sz="0" w:space="0" w:color="auto" w:frame="1"/>
        </w:rPr>
      </w:pPr>
    </w:p>
    <w:p w:rsidR="000A5ED7" w:rsidRDefault="006669C8" w:rsidP="006669C8">
      <w:pPr>
        <w:ind w:right="-347"/>
        <w:jc w:val="both"/>
        <w:rPr>
          <w:rFonts w:ascii="Cambria" w:hAnsi="Cambria"/>
          <w:color w:val="000000" w:themeColor="text1"/>
        </w:rPr>
      </w:pPr>
      <w:r w:rsidRPr="003020EF">
        <w:rPr>
          <w:rStyle w:val="xcontentpasted0"/>
          <w:rFonts w:ascii="Cambria" w:hAnsi="Cambria"/>
          <w:color w:val="000000" w:themeColor="text1"/>
          <w:bdr w:val="none" w:sz="0" w:space="0" w:color="auto" w:frame="1"/>
        </w:rPr>
        <w:t xml:space="preserve">We would also note that the provision of compensation or redress is consistent with human rights principles, including </w:t>
      </w:r>
      <w:r w:rsidRPr="003020EF">
        <w:rPr>
          <w:rFonts w:ascii="Cambria" w:hAnsi="Cambria"/>
          <w:color w:val="000000" w:themeColor="text1"/>
        </w:rPr>
        <w:t xml:space="preserve">the </w:t>
      </w:r>
      <w:r w:rsidRPr="003020EF">
        <w:rPr>
          <w:rFonts w:ascii="Cambria" w:hAnsi="Cambria"/>
          <w:i/>
          <w:iCs/>
          <w:color w:val="000000" w:themeColor="text1"/>
        </w:rPr>
        <w:t>Yogyakarta Principles</w:t>
      </w:r>
      <w:r w:rsidRPr="003020EF">
        <w:rPr>
          <w:rFonts w:ascii="Cambria" w:hAnsi="Cambria"/>
          <w:color w:val="000000" w:themeColor="text1"/>
        </w:rPr>
        <w:t xml:space="preserve"> </w:t>
      </w:r>
      <w:r w:rsidR="000A5ED7">
        <w:rPr>
          <w:rFonts w:ascii="Cambria" w:hAnsi="Cambria"/>
          <w:color w:val="000000" w:themeColor="text1"/>
        </w:rPr>
        <w:t xml:space="preserve">(‘the Principles’) </w:t>
      </w:r>
      <w:r w:rsidRPr="003020EF">
        <w:rPr>
          <w:rFonts w:ascii="Cambria" w:hAnsi="Cambria"/>
          <w:color w:val="000000" w:themeColor="text1"/>
        </w:rPr>
        <w:t xml:space="preserve">which set out the application of international human rights law in relation to sexual orientation and gender identity. Relevantly, the Principles refer to the need for legal procedures to ensure that </w:t>
      </w:r>
      <w:r w:rsidRPr="003020EF">
        <w:rPr>
          <w:rFonts w:ascii="Cambria" w:hAnsi="Cambria"/>
          <w:color w:val="000000" w:themeColor="text1"/>
        </w:rPr>
        <w:lastRenderedPageBreak/>
        <w:t>victims of human rights violations on the basis of sexual orientation or gender identity have access to redress</w:t>
      </w:r>
      <w:r w:rsidR="000A5ED7">
        <w:rPr>
          <w:rFonts w:ascii="Cambria" w:hAnsi="Cambria"/>
          <w:color w:val="000000" w:themeColor="text1"/>
        </w:rPr>
        <w:t>:</w:t>
      </w:r>
      <w:r w:rsidRPr="003020EF">
        <w:rPr>
          <w:rStyle w:val="FootnoteReference"/>
          <w:rFonts w:ascii="Cambria" w:hAnsi="Cambria"/>
          <w:color w:val="000000" w:themeColor="text1"/>
        </w:rPr>
        <w:footnoteReference w:id="5"/>
      </w:r>
      <w:r w:rsidRPr="003020EF">
        <w:rPr>
          <w:rFonts w:ascii="Cambria" w:hAnsi="Cambria"/>
          <w:color w:val="000000" w:themeColor="text1"/>
        </w:rPr>
        <w:t xml:space="preserve"> </w:t>
      </w:r>
    </w:p>
    <w:p w:rsidR="000A5ED7" w:rsidRDefault="000A5ED7" w:rsidP="006669C8">
      <w:pPr>
        <w:ind w:right="-347"/>
        <w:jc w:val="both"/>
        <w:rPr>
          <w:rFonts w:ascii="Cambria" w:hAnsi="Cambria"/>
          <w:color w:val="000000" w:themeColor="text1"/>
        </w:rPr>
      </w:pPr>
    </w:p>
    <w:p w:rsidR="000A5ED7" w:rsidRPr="00775462" w:rsidRDefault="000A5ED7" w:rsidP="00B83918">
      <w:pPr>
        <w:ind w:left="720" w:right="-347"/>
        <w:jc w:val="both"/>
        <w:rPr>
          <w:rFonts w:ascii="Cambria" w:hAnsi="Cambria"/>
          <w:b/>
          <w:bCs/>
          <w:i/>
          <w:iCs/>
          <w:color w:val="000000" w:themeColor="text1"/>
          <w:sz w:val="23"/>
          <w:szCs w:val="23"/>
        </w:rPr>
      </w:pPr>
      <w:r w:rsidRPr="00775462">
        <w:rPr>
          <w:rFonts w:ascii="Cambria" w:hAnsi="Cambria"/>
          <w:b/>
          <w:bCs/>
          <w:i/>
          <w:iCs/>
          <w:color w:val="000000" w:themeColor="text1"/>
          <w:sz w:val="23"/>
          <w:szCs w:val="23"/>
        </w:rPr>
        <w:t>Principle 28</w:t>
      </w:r>
      <w:r w:rsidR="00245C6B">
        <w:rPr>
          <w:rFonts w:ascii="Cambria" w:hAnsi="Cambria"/>
          <w:b/>
          <w:bCs/>
          <w:i/>
          <w:iCs/>
          <w:color w:val="000000" w:themeColor="text1"/>
          <w:sz w:val="23"/>
          <w:szCs w:val="23"/>
        </w:rPr>
        <w:t xml:space="preserve"> – The right to effective remedies and redress</w:t>
      </w:r>
    </w:p>
    <w:p w:rsidR="000A5ED7" w:rsidRPr="00775462" w:rsidRDefault="000A5ED7" w:rsidP="00B83918">
      <w:pPr>
        <w:ind w:left="720" w:right="-347"/>
        <w:jc w:val="both"/>
        <w:rPr>
          <w:rFonts w:ascii="Cambria" w:hAnsi="Cambria"/>
          <w:i/>
          <w:iCs/>
          <w:color w:val="000000" w:themeColor="text1"/>
          <w:sz w:val="23"/>
          <w:szCs w:val="23"/>
        </w:rPr>
      </w:pPr>
      <w:r w:rsidRPr="00775462">
        <w:rPr>
          <w:rFonts w:ascii="Cambria" w:hAnsi="Cambria"/>
          <w:i/>
          <w:iCs/>
          <w:color w:val="000000" w:themeColor="text1"/>
          <w:sz w:val="23"/>
          <w:szCs w:val="23"/>
        </w:rPr>
        <w:t xml:space="preserve">Every victim of a human rights violation, including of a violation based on sexual orientation or gender identity, has the right to effective, adequate and appropriate remedies.  Measures taken for the purpose of providing reparation to, or securing adequate advancement of, persons of diverse sexual orientations and gender identities are integral to the right to effective remedies and redress. </w:t>
      </w:r>
    </w:p>
    <w:p w:rsidR="000A5ED7" w:rsidRPr="00775462" w:rsidRDefault="000A5ED7" w:rsidP="00B83918">
      <w:pPr>
        <w:ind w:left="720" w:right="-347"/>
        <w:jc w:val="both"/>
        <w:rPr>
          <w:rFonts w:ascii="Cambria" w:hAnsi="Cambria"/>
          <w:i/>
          <w:iCs/>
          <w:color w:val="000000" w:themeColor="text1"/>
          <w:sz w:val="23"/>
          <w:szCs w:val="23"/>
        </w:rPr>
      </w:pPr>
    </w:p>
    <w:p w:rsidR="000A5ED7" w:rsidRPr="00775462" w:rsidRDefault="000A5ED7" w:rsidP="00B83918">
      <w:pPr>
        <w:ind w:left="720" w:right="-347"/>
        <w:jc w:val="both"/>
        <w:rPr>
          <w:rFonts w:ascii="Cambria" w:hAnsi="Cambria"/>
          <w:i/>
          <w:iCs/>
          <w:color w:val="000000" w:themeColor="text1"/>
          <w:sz w:val="23"/>
          <w:szCs w:val="23"/>
        </w:rPr>
      </w:pPr>
      <w:r w:rsidRPr="00775462">
        <w:rPr>
          <w:rFonts w:ascii="Cambria" w:hAnsi="Cambria"/>
          <w:i/>
          <w:iCs/>
          <w:color w:val="000000" w:themeColor="text1"/>
          <w:sz w:val="23"/>
          <w:szCs w:val="23"/>
        </w:rPr>
        <w:t xml:space="preserve">States shall: </w:t>
      </w:r>
    </w:p>
    <w:p w:rsidR="000A5ED7" w:rsidRPr="00775462" w:rsidRDefault="000A5ED7" w:rsidP="00B83918">
      <w:pPr>
        <w:ind w:left="720" w:right="-347"/>
        <w:jc w:val="both"/>
        <w:rPr>
          <w:rFonts w:ascii="Cambria" w:hAnsi="Cambria"/>
          <w:i/>
          <w:iCs/>
          <w:color w:val="000000" w:themeColor="text1"/>
          <w:sz w:val="23"/>
          <w:szCs w:val="23"/>
        </w:rPr>
      </w:pPr>
    </w:p>
    <w:p w:rsidR="000A5ED7" w:rsidRPr="00775462" w:rsidRDefault="000A5ED7" w:rsidP="00B83918">
      <w:pPr>
        <w:ind w:left="720" w:right="-347"/>
        <w:jc w:val="both"/>
        <w:rPr>
          <w:rFonts w:ascii="Cambria" w:hAnsi="Cambria"/>
          <w:i/>
          <w:iCs/>
          <w:color w:val="000000" w:themeColor="text1"/>
          <w:sz w:val="23"/>
          <w:szCs w:val="23"/>
        </w:rPr>
      </w:pPr>
      <w:r w:rsidRPr="00775462">
        <w:rPr>
          <w:rFonts w:ascii="Cambria" w:hAnsi="Cambria"/>
          <w:i/>
          <w:iCs/>
          <w:color w:val="000000" w:themeColor="text1"/>
          <w:sz w:val="23"/>
          <w:szCs w:val="23"/>
        </w:rPr>
        <w:t xml:space="preserve">A. </w:t>
      </w:r>
      <w:r w:rsidR="00B83918" w:rsidRPr="00775462">
        <w:rPr>
          <w:rFonts w:ascii="Cambria" w:hAnsi="Cambria"/>
          <w:i/>
          <w:iCs/>
          <w:color w:val="000000" w:themeColor="text1"/>
          <w:sz w:val="23"/>
          <w:szCs w:val="23"/>
        </w:rPr>
        <w:t>E</w:t>
      </w:r>
      <w:r w:rsidRPr="00775462">
        <w:rPr>
          <w:rFonts w:ascii="Cambria" w:hAnsi="Cambria"/>
          <w:i/>
          <w:iCs/>
          <w:color w:val="000000" w:themeColor="text1"/>
          <w:sz w:val="23"/>
          <w:szCs w:val="23"/>
        </w:rPr>
        <w:t>stablish the necessary legal procedures, including through the revision of legislation and policies, to ensure that victims of human rights violations on the basis of sexual orientation or gender identity have access to full redress through restitution, compensation, rehabilitation, satisfaction, guarantee of non-repetition, and/or any other means as appropriate;</w:t>
      </w:r>
    </w:p>
    <w:p w:rsidR="000A5ED7" w:rsidRPr="00775462" w:rsidRDefault="000A5ED7" w:rsidP="00B83918">
      <w:pPr>
        <w:ind w:left="720"/>
        <w:rPr>
          <w:rFonts w:ascii="Cambria" w:hAnsi="Cambria"/>
          <w:i/>
          <w:iCs/>
          <w:sz w:val="23"/>
          <w:szCs w:val="23"/>
        </w:rPr>
      </w:pPr>
    </w:p>
    <w:p w:rsidR="000A5ED7" w:rsidRPr="00775462" w:rsidRDefault="000A5ED7" w:rsidP="00B83918">
      <w:pPr>
        <w:ind w:left="720"/>
        <w:rPr>
          <w:rFonts w:ascii="Cambria" w:hAnsi="Cambria"/>
          <w:i/>
          <w:iCs/>
          <w:sz w:val="23"/>
          <w:szCs w:val="23"/>
        </w:rPr>
      </w:pPr>
      <w:r w:rsidRPr="00775462">
        <w:rPr>
          <w:rFonts w:ascii="Cambria" w:hAnsi="Cambria"/>
          <w:i/>
          <w:iCs/>
          <w:sz w:val="23"/>
          <w:szCs w:val="23"/>
        </w:rPr>
        <w:t>B.</w:t>
      </w:r>
      <w:r w:rsidR="00B83918" w:rsidRPr="00775462">
        <w:rPr>
          <w:rFonts w:ascii="Cambria" w:hAnsi="Cambria"/>
          <w:i/>
          <w:iCs/>
          <w:sz w:val="23"/>
          <w:szCs w:val="23"/>
        </w:rPr>
        <w:t xml:space="preserve"> </w:t>
      </w:r>
      <w:r w:rsidRPr="00775462">
        <w:rPr>
          <w:rFonts w:ascii="Cambria" w:hAnsi="Cambria"/>
          <w:i/>
          <w:iCs/>
          <w:sz w:val="23"/>
          <w:szCs w:val="23"/>
        </w:rPr>
        <w:t>E</w:t>
      </w:r>
      <w:r w:rsidRPr="00775462">
        <w:rPr>
          <w:rFonts w:ascii="Cambria" w:hAnsi="Cambria"/>
          <w:i/>
          <w:iCs/>
          <w:sz w:val="23"/>
          <w:szCs w:val="23"/>
        </w:rPr>
        <w:t>nsure that remedies are enforced and implemented in a timely manner;</w:t>
      </w:r>
    </w:p>
    <w:p w:rsidR="000A5ED7" w:rsidRPr="00775462" w:rsidRDefault="000A5ED7" w:rsidP="00B83918">
      <w:pPr>
        <w:ind w:left="720"/>
        <w:rPr>
          <w:rFonts w:ascii="Cambria" w:hAnsi="Cambria"/>
          <w:i/>
          <w:iCs/>
          <w:sz w:val="23"/>
          <w:szCs w:val="23"/>
        </w:rPr>
      </w:pPr>
    </w:p>
    <w:p w:rsidR="000A5ED7" w:rsidRPr="00775462" w:rsidRDefault="000A5ED7" w:rsidP="00B83918">
      <w:pPr>
        <w:ind w:left="720"/>
        <w:rPr>
          <w:rFonts w:ascii="Cambria" w:hAnsi="Cambria"/>
          <w:i/>
          <w:iCs/>
          <w:sz w:val="23"/>
          <w:szCs w:val="23"/>
        </w:rPr>
      </w:pPr>
      <w:r w:rsidRPr="00775462">
        <w:rPr>
          <w:rFonts w:ascii="Cambria" w:hAnsi="Cambria"/>
          <w:i/>
          <w:iCs/>
          <w:sz w:val="23"/>
          <w:szCs w:val="23"/>
        </w:rPr>
        <w:t>C.</w:t>
      </w:r>
      <w:r w:rsidR="00B83918" w:rsidRPr="00775462">
        <w:rPr>
          <w:rFonts w:ascii="Cambria" w:hAnsi="Cambria"/>
          <w:i/>
          <w:iCs/>
          <w:sz w:val="23"/>
          <w:szCs w:val="23"/>
        </w:rPr>
        <w:t xml:space="preserve"> </w:t>
      </w:r>
      <w:r w:rsidRPr="00775462">
        <w:rPr>
          <w:rFonts w:ascii="Cambria" w:hAnsi="Cambria"/>
          <w:i/>
          <w:iCs/>
          <w:sz w:val="23"/>
          <w:szCs w:val="23"/>
        </w:rPr>
        <w:t>E</w:t>
      </w:r>
      <w:r w:rsidRPr="00775462">
        <w:rPr>
          <w:rFonts w:ascii="Cambria" w:hAnsi="Cambria"/>
          <w:i/>
          <w:iCs/>
          <w:sz w:val="23"/>
          <w:szCs w:val="23"/>
        </w:rPr>
        <w:t>nsure that effective institutions and standards for the provision of remedies and redress are established, and that all personnel are trained in issues of human rights violations based on sexual orientation and gender identity;</w:t>
      </w:r>
    </w:p>
    <w:p w:rsidR="000A5ED7" w:rsidRPr="00775462" w:rsidRDefault="000A5ED7" w:rsidP="00B83918">
      <w:pPr>
        <w:ind w:left="720"/>
        <w:rPr>
          <w:rFonts w:ascii="Cambria" w:hAnsi="Cambria"/>
          <w:i/>
          <w:iCs/>
          <w:sz w:val="23"/>
          <w:szCs w:val="23"/>
        </w:rPr>
      </w:pPr>
    </w:p>
    <w:p w:rsidR="000A5ED7" w:rsidRPr="00775462" w:rsidRDefault="000A5ED7" w:rsidP="00B83918">
      <w:pPr>
        <w:ind w:left="720"/>
        <w:rPr>
          <w:rFonts w:ascii="Cambria" w:hAnsi="Cambria"/>
          <w:i/>
          <w:iCs/>
          <w:sz w:val="23"/>
          <w:szCs w:val="23"/>
        </w:rPr>
      </w:pPr>
      <w:r w:rsidRPr="00775462">
        <w:rPr>
          <w:rFonts w:ascii="Cambria" w:hAnsi="Cambria"/>
          <w:i/>
          <w:iCs/>
          <w:sz w:val="23"/>
          <w:szCs w:val="23"/>
        </w:rPr>
        <w:t>D. E</w:t>
      </w:r>
      <w:r w:rsidRPr="00775462">
        <w:rPr>
          <w:rFonts w:ascii="Cambria" w:hAnsi="Cambria"/>
          <w:i/>
          <w:iCs/>
          <w:sz w:val="23"/>
          <w:szCs w:val="23"/>
        </w:rPr>
        <w:t>nsure that all persons have access to all necessary information about the processes for seeking remedies and redress;</w:t>
      </w:r>
    </w:p>
    <w:p w:rsidR="000A5ED7" w:rsidRPr="00775462" w:rsidRDefault="000A5ED7" w:rsidP="00B83918">
      <w:pPr>
        <w:ind w:left="720"/>
        <w:rPr>
          <w:rFonts w:ascii="Cambria" w:hAnsi="Cambria"/>
          <w:i/>
          <w:iCs/>
          <w:sz w:val="23"/>
          <w:szCs w:val="23"/>
        </w:rPr>
      </w:pPr>
    </w:p>
    <w:p w:rsidR="000A5ED7" w:rsidRPr="00775462" w:rsidRDefault="000A5ED7" w:rsidP="00B83918">
      <w:pPr>
        <w:ind w:left="720"/>
        <w:rPr>
          <w:rFonts w:ascii="Cambria" w:hAnsi="Cambria"/>
          <w:i/>
          <w:iCs/>
          <w:sz w:val="23"/>
          <w:szCs w:val="23"/>
        </w:rPr>
      </w:pPr>
      <w:r w:rsidRPr="00775462">
        <w:rPr>
          <w:rFonts w:ascii="Cambria" w:hAnsi="Cambria"/>
          <w:i/>
          <w:iCs/>
          <w:sz w:val="23"/>
          <w:szCs w:val="23"/>
        </w:rPr>
        <w:t>E. E</w:t>
      </w:r>
      <w:r w:rsidRPr="00775462">
        <w:rPr>
          <w:rFonts w:ascii="Cambria" w:hAnsi="Cambria"/>
          <w:i/>
          <w:iCs/>
          <w:sz w:val="23"/>
          <w:szCs w:val="23"/>
        </w:rPr>
        <w:t>nsure that financial aid is provided to those who are unable to afford the cost of securing redress, and that any other obstacles to securing such redress, financial or otherwise, are removed;</w:t>
      </w:r>
    </w:p>
    <w:p w:rsidR="000A5ED7" w:rsidRPr="00775462" w:rsidRDefault="000A5ED7" w:rsidP="00B83918">
      <w:pPr>
        <w:ind w:left="720"/>
        <w:rPr>
          <w:rFonts w:ascii="Cambria" w:hAnsi="Cambria"/>
          <w:i/>
          <w:iCs/>
          <w:sz w:val="23"/>
          <w:szCs w:val="23"/>
        </w:rPr>
      </w:pPr>
    </w:p>
    <w:p w:rsidR="000A5ED7" w:rsidRPr="00775462" w:rsidRDefault="000A5ED7" w:rsidP="00B83918">
      <w:pPr>
        <w:ind w:left="720"/>
        <w:rPr>
          <w:sz w:val="23"/>
          <w:szCs w:val="23"/>
        </w:rPr>
      </w:pPr>
      <w:r w:rsidRPr="00775462">
        <w:rPr>
          <w:rFonts w:ascii="Cambria" w:hAnsi="Cambria"/>
          <w:i/>
          <w:iCs/>
          <w:sz w:val="23"/>
          <w:szCs w:val="23"/>
        </w:rPr>
        <w:t>F. E</w:t>
      </w:r>
      <w:r w:rsidRPr="00775462">
        <w:rPr>
          <w:rFonts w:ascii="Cambria" w:hAnsi="Cambria"/>
          <w:i/>
          <w:iCs/>
          <w:sz w:val="23"/>
          <w:szCs w:val="23"/>
        </w:rPr>
        <w:t>nsure training and awareness-raising programmes, including measures aimed at teachers and students at all levels of public education, at professional bodies, and at potential violators of human rights, to promote respect for and adherence to international human rights standards in accordance with these Principles, as well as to counter discriminatory attitudes based on sexual orientation or gender identity</w:t>
      </w:r>
    </w:p>
    <w:p w:rsidR="0076469F" w:rsidRDefault="0076469F" w:rsidP="006669C8">
      <w:pPr>
        <w:ind w:right="-347"/>
        <w:jc w:val="both"/>
        <w:rPr>
          <w:rStyle w:val="xcontentpasted0"/>
          <w:rFonts w:ascii="Cambria" w:hAnsi="Cambria"/>
          <w:color w:val="000000" w:themeColor="text1"/>
          <w:bdr w:val="none" w:sz="0" w:space="0" w:color="auto" w:frame="1"/>
        </w:rPr>
      </w:pPr>
    </w:p>
    <w:p w:rsidR="00A1633C" w:rsidRPr="00956695" w:rsidRDefault="001535A0" w:rsidP="006669C8">
      <w:pPr>
        <w:ind w:right="-347"/>
        <w:jc w:val="both"/>
        <w:rPr>
          <w:rStyle w:val="xcontentpasted0"/>
          <w:rFonts w:ascii="Cambria" w:hAnsi="Cambria"/>
          <w:b/>
          <w:bCs/>
          <w:color w:val="000000" w:themeColor="text1"/>
          <w:bdr w:val="none" w:sz="0" w:space="0" w:color="auto" w:frame="1"/>
        </w:rPr>
      </w:pPr>
      <w:r>
        <w:rPr>
          <w:rStyle w:val="xcontentpasted0"/>
          <w:rFonts w:ascii="Cambria" w:hAnsi="Cambria"/>
          <w:b/>
          <w:bCs/>
          <w:color w:val="000000" w:themeColor="text1"/>
          <w:bdr w:val="none" w:sz="0" w:space="0" w:color="auto" w:frame="1"/>
        </w:rPr>
        <w:t>Tailoring r</w:t>
      </w:r>
      <w:r w:rsidR="003314C8" w:rsidRPr="00956695">
        <w:rPr>
          <w:rStyle w:val="xcontentpasted0"/>
          <w:rFonts w:ascii="Cambria" w:hAnsi="Cambria"/>
          <w:b/>
          <w:bCs/>
          <w:color w:val="000000" w:themeColor="text1"/>
          <w:bdr w:val="none" w:sz="0" w:space="0" w:color="auto" w:frame="1"/>
        </w:rPr>
        <w:t>edress</w:t>
      </w:r>
      <w:r>
        <w:rPr>
          <w:rStyle w:val="xcontentpasted0"/>
          <w:rFonts w:ascii="Cambria" w:hAnsi="Cambria"/>
          <w:b/>
          <w:bCs/>
          <w:color w:val="000000" w:themeColor="text1"/>
          <w:bdr w:val="none" w:sz="0" w:space="0" w:color="auto" w:frame="1"/>
        </w:rPr>
        <w:t xml:space="preserve"> to the individual circumstances of the victim</w:t>
      </w:r>
    </w:p>
    <w:p w:rsidR="00245C6B" w:rsidRDefault="00956695" w:rsidP="006669C8">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t xml:space="preserve">In their response to the </w:t>
      </w:r>
      <w:r w:rsidRPr="00124175">
        <w:rPr>
          <w:rStyle w:val="xcontentpasted0"/>
          <w:rFonts w:ascii="Cambria" w:hAnsi="Cambria"/>
          <w:i/>
          <w:iCs/>
          <w:color w:val="000000" w:themeColor="text1"/>
          <w:bdr w:val="none" w:sz="0" w:space="0" w:color="auto" w:frame="1"/>
        </w:rPr>
        <w:t>Royal Commission into Institutional Responses to Child Sexual Abu</w:t>
      </w:r>
      <w:r w:rsidR="00124175" w:rsidRPr="00124175">
        <w:rPr>
          <w:rStyle w:val="xcontentpasted0"/>
          <w:rFonts w:ascii="Cambria" w:hAnsi="Cambria"/>
          <w:i/>
          <w:iCs/>
          <w:color w:val="000000" w:themeColor="text1"/>
          <w:bdr w:val="none" w:sz="0" w:space="0" w:color="auto" w:frame="1"/>
        </w:rPr>
        <w:t>s</w:t>
      </w:r>
      <w:r w:rsidRPr="00124175">
        <w:rPr>
          <w:rStyle w:val="xcontentpasted0"/>
          <w:rFonts w:ascii="Cambria" w:hAnsi="Cambria"/>
          <w:i/>
          <w:iCs/>
          <w:color w:val="000000" w:themeColor="text1"/>
          <w:bdr w:val="none" w:sz="0" w:space="0" w:color="auto" w:frame="1"/>
        </w:rPr>
        <w:t>e</w:t>
      </w:r>
      <w:r>
        <w:rPr>
          <w:rStyle w:val="xcontentpasted0"/>
          <w:rFonts w:ascii="Cambria" w:hAnsi="Cambria"/>
          <w:color w:val="000000" w:themeColor="text1"/>
          <w:bdr w:val="none" w:sz="0" w:space="0" w:color="auto" w:frame="1"/>
        </w:rPr>
        <w:t>, the Tasmanian Government reflected on what made a successful redress schem</w:t>
      </w:r>
      <w:r w:rsidR="00124175">
        <w:rPr>
          <w:rStyle w:val="xcontentpasted0"/>
          <w:rFonts w:ascii="Cambria" w:hAnsi="Cambria"/>
          <w:color w:val="000000" w:themeColor="text1"/>
          <w:bdr w:val="none" w:sz="0" w:space="0" w:color="auto" w:frame="1"/>
        </w:rPr>
        <w:t>e</w:t>
      </w:r>
      <w:r>
        <w:rPr>
          <w:rStyle w:val="xcontentpasted0"/>
          <w:rFonts w:ascii="Cambria" w:hAnsi="Cambria"/>
          <w:color w:val="000000" w:themeColor="text1"/>
          <w:bdr w:val="none" w:sz="0" w:space="0" w:color="auto" w:frame="1"/>
        </w:rPr>
        <w:t>, noting that</w:t>
      </w:r>
      <w:r w:rsidR="00124175">
        <w:rPr>
          <w:rStyle w:val="xcontentpasted0"/>
          <w:rFonts w:ascii="Cambria" w:hAnsi="Cambria"/>
          <w:color w:val="000000" w:themeColor="text1"/>
          <w:bdr w:val="none" w:sz="0" w:space="0" w:color="auto" w:frame="1"/>
        </w:rPr>
        <w:t xml:space="preserve"> the experiences of those seeking redress “varies greatly, dependent on individual circumstances. Redress schemes should therefore respond to the needs and experiences of individuals…”</w:t>
      </w:r>
      <w:r w:rsidR="00124175">
        <w:rPr>
          <w:rStyle w:val="FootnoteReference"/>
          <w:rFonts w:ascii="Cambria" w:hAnsi="Cambria"/>
          <w:color w:val="000000" w:themeColor="text1"/>
          <w:bdr w:val="none" w:sz="0" w:space="0" w:color="auto" w:frame="1"/>
        </w:rPr>
        <w:footnoteReference w:id="6"/>
      </w:r>
      <w:r>
        <w:rPr>
          <w:rStyle w:val="xcontentpasted0"/>
          <w:rFonts w:ascii="Cambria" w:hAnsi="Cambria"/>
          <w:color w:val="000000" w:themeColor="text1"/>
          <w:bdr w:val="none" w:sz="0" w:space="0" w:color="auto" w:frame="1"/>
        </w:rPr>
        <w:t xml:space="preserve"> </w:t>
      </w:r>
    </w:p>
    <w:p w:rsidR="00587598" w:rsidRDefault="00FD6CC2" w:rsidP="006669C8">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lastRenderedPageBreak/>
        <w:t>We strongly agree</w:t>
      </w:r>
      <w:r w:rsidR="00BB765A">
        <w:rPr>
          <w:rStyle w:val="xcontentpasted0"/>
          <w:rFonts w:ascii="Cambria" w:hAnsi="Cambria"/>
          <w:color w:val="000000" w:themeColor="text1"/>
          <w:bdr w:val="none" w:sz="0" w:space="0" w:color="auto" w:frame="1"/>
        </w:rPr>
        <w:t xml:space="preserve"> </w:t>
      </w:r>
      <w:r>
        <w:rPr>
          <w:rStyle w:val="xcontentpasted0"/>
          <w:rFonts w:ascii="Cambria" w:hAnsi="Cambria"/>
          <w:color w:val="000000" w:themeColor="text1"/>
          <w:bdr w:val="none" w:sz="0" w:space="0" w:color="auto" w:frame="1"/>
        </w:rPr>
        <w:t>that redress should be tailored to the individual circumstances of the victim</w:t>
      </w:r>
      <w:r w:rsidR="00775462">
        <w:rPr>
          <w:rStyle w:val="xcontentpasted0"/>
          <w:rFonts w:ascii="Cambria" w:hAnsi="Cambria"/>
          <w:color w:val="000000" w:themeColor="text1"/>
          <w:bdr w:val="none" w:sz="0" w:space="0" w:color="auto" w:frame="1"/>
        </w:rPr>
        <w:t xml:space="preserve">, taking into account factors including suicide ideation, loss of employment, stigmatisation and ostracization. </w:t>
      </w:r>
      <w:r w:rsidR="001535A0">
        <w:rPr>
          <w:rStyle w:val="xcontentpasted0"/>
          <w:rFonts w:ascii="Cambria" w:hAnsi="Cambria"/>
          <w:color w:val="000000" w:themeColor="text1"/>
          <w:bdr w:val="none" w:sz="0" w:space="0" w:color="auto" w:frame="1"/>
        </w:rPr>
        <w:t>Our preferred model would be a single redress scheme with a maximum amount stipulated such as Tasmania’s</w:t>
      </w:r>
      <w:r w:rsidR="001535A0">
        <w:rPr>
          <w:rStyle w:val="xcontentpasted0"/>
          <w:rFonts w:ascii="Cambria" w:hAnsi="Cambria"/>
          <w:color w:val="000000" w:themeColor="text1"/>
          <w:bdr w:val="none" w:sz="0" w:space="0" w:color="auto" w:frame="1"/>
        </w:rPr>
        <w:t xml:space="preserve"> </w:t>
      </w:r>
      <w:r w:rsidR="001535A0" w:rsidRPr="00956695">
        <w:rPr>
          <w:rStyle w:val="xcontentpasted0"/>
          <w:rFonts w:ascii="Cambria" w:hAnsi="Cambria"/>
          <w:i/>
          <w:iCs/>
          <w:color w:val="000000" w:themeColor="text1"/>
          <w:bdr w:val="none" w:sz="0" w:space="0" w:color="auto" w:frame="1"/>
        </w:rPr>
        <w:t>Abuse in State Care Review</w:t>
      </w:r>
      <w:r w:rsidR="001535A0">
        <w:rPr>
          <w:rStyle w:val="xcontentpasted0"/>
          <w:rFonts w:ascii="Cambria" w:hAnsi="Cambria"/>
          <w:color w:val="000000" w:themeColor="text1"/>
          <w:bdr w:val="none" w:sz="0" w:space="0" w:color="auto" w:frame="1"/>
        </w:rPr>
        <w:t xml:space="preserve"> </w:t>
      </w:r>
      <w:r w:rsidR="00587598">
        <w:rPr>
          <w:rStyle w:val="xcontentpasted0"/>
          <w:rFonts w:ascii="Cambria" w:hAnsi="Cambria"/>
          <w:color w:val="000000" w:themeColor="text1"/>
          <w:bdr w:val="none" w:sz="0" w:space="0" w:color="auto" w:frame="1"/>
        </w:rPr>
        <w:t xml:space="preserve">in which </w:t>
      </w:r>
      <w:r w:rsidR="001535A0">
        <w:rPr>
          <w:rStyle w:val="xcontentpasted0"/>
          <w:rFonts w:ascii="Cambria" w:hAnsi="Cambria"/>
          <w:color w:val="000000" w:themeColor="text1"/>
          <w:bdr w:val="none" w:sz="0" w:space="0" w:color="auto" w:frame="1"/>
        </w:rPr>
        <w:t xml:space="preserve">victims </w:t>
      </w:r>
      <w:r w:rsidR="001535A0">
        <w:rPr>
          <w:rStyle w:val="xcontentpasted0"/>
          <w:rFonts w:ascii="Cambria" w:hAnsi="Cambria"/>
          <w:color w:val="000000" w:themeColor="text1"/>
          <w:bdr w:val="none" w:sz="0" w:space="0" w:color="auto" w:frame="1"/>
        </w:rPr>
        <w:t xml:space="preserve">received </w:t>
      </w:r>
      <w:r w:rsidR="001535A0">
        <w:rPr>
          <w:rStyle w:val="xcontentpasted0"/>
          <w:rFonts w:ascii="Cambria" w:hAnsi="Cambria"/>
          <w:color w:val="000000" w:themeColor="text1"/>
          <w:bdr w:val="none" w:sz="0" w:space="0" w:color="auto" w:frame="1"/>
        </w:rPr>
        <w:t xml:space="preserve">payments of up </w:t>
      </w:r>
      <w:r w:rsidR="00587598">
        <w:rPr>
          <w:rStyle w:val="xcontentpasted0"/>
          <w:rFonts w:ascii="Cambria" w:hAnsi="Cambria"/>
          <w:color w:val="000000" w:themeColor="text1"/>
          <w:bdr w:val="none" w:sz="0" w:space="0" w:color="auto" w:frame="1"/>
        </w:rPr>
        <w:t xml:space="preserve">to </w:t>
      </w:r>
      <w:r w:rsidR="001535A0">
        <w:rPr>
          <w:rStyle w:val="xcontentpasted0"/>
          <w:rFonts w:ascii="Cambria" w:hAnsi="Cambria"/>
          <w:color w:val="000000" w:themeColor="text1"/>
          <w:bdr w:val="none" w:sz="0" w:space="0" w:color="auto" w:frame="1"/>
        </w:rPr>
        <w:t>$60,000</w:t>
      </w:r>
      <w:r w:rsidR="00B16EF1">
        <w:rPr>
          <w:rStyle w:val="xcontentpasted0"/>
          <w:rFonts w:ascii="Cambria" w:hAnsi="Cambria"/>
          <w:color w:val="000000" w:themeColor="text1"/>
          <w:bdr w:val="none" w:sz="0" w:space="0" w:color="auto" w:frame="1"/>
        </w:rPr>
        <w:t xml:space="preserve"> between 2003-2013</w:t>
      </w:r>
      <w:r w:rsidR="001535A0">
        <w:rPr>
          <w:rStyle w:val="xcontentpasted0"/>
          <w:rFonts w:ascii="Cambria" w:hAnsi="Cambria"/>
          <w:color w:val="000000" w:themeColor="text1"/>
          <w:bdr w:val="none" w:sz="0" w:space="0" w:color="auto" w:frame="1"/>
        </w:rPr>
        <w:t>.</w:t>
      </w:r>
      <w:r w:rsidR="00587598">
        <w:rPr>
          <w:rStyle w:val="FootnoteReference"/>
          <w:rFonts w:ascii="Cambria" w:hAnsi="Cambria"/>
          <w:color w:val="000000" w:themeColor="text1"/>
          <w:bdr w:val="none" w:sz="0" w:space="0" w:color="auto" w:frame="1"/>
        </w:rPr>
        <w:footnoteReference w:id="7"/>
      </w:r>
      <w:r w:rsidR="001535A0">
        <w:rPr>
          <w:rStyle w:val="xcontentpasted0"/>
          <w:rFonts w:ascii="Cambria" w:hAnsi="Cambria"/>
          <w:color w:val="000000" w:themeColor="text1"/>
          <w:bdr w:val="none" w:sz="0" w:space="0" w:color="auto" w:frame="1"/>
        </w:rPr>
        <w:t xml:space="preserve"> However, in the event that the Committee prefers the</w:t>
      </w:r>
      <w:r w:rsidR="00775462">
        <w:rPr>
          <w:rStyle w:val="xcontentpasted0"/>
          <w:rFonts w:ascii="Cambria" w:hAnsi="Cambria"/>
          <w:color w:val="000000" w:themeColor="text1"/>
          <w:bdr w:val="none" w:sz="0" w:space="0" w:color="auto" w:frame="1"/>
        </w:rPr>
        <w:t xml:space="preserve"> independent review</w:t>
      </w:r>
      <w:r w:rsidR="001535A0">
        <w:rPr>
          <w:rStyle w:val="xcontentpasted0"/>
          <w:rFonts w:ascii="Cambria" w:hAnsi="Cambria"/>
          <w:color w:val="000000" w:themeColor="text1"/>
          <w:bdr w:val="none" w:sz="0" w:space="0" w:color="auto" w:frame="1"/>
        </w:rPr>
        <w:t xml:space="preserve">’s </w:t>
      </w:r>
      <w:r w:rsidR="00775462">
        <w:rPr>
          <w:rStyle w:val="xcontentpasted0"/>
          <w:rFonts w:ascii="Cambria" w:hAnsi="Cambria"/>
          <w:color w:val="000000" w:themeColor="text1"/>
          <w:bdr w:val="none" w:sz="0" w:space="0" w:color="auto" w:frame="1"/>
        </w:rPr>
        <w:t>two-tiered</w:t>
      </w:r>
      <w:r w:rsidR="00245C6B">
        <w:rPr>
          <w:rStyle w:val="xcontentpasted0"/>
          <w:rFonts w:ascii="Cambria" w:hAnsi="Cambria"/>
          <w:color w:val="000000" w:themeColor="text1"/>
          <w:bdr w:val="none" w:sz="0" w:space="0" w:color="auto" w:frame="1"/>
        </w:rPr>
        <w:t xml:space="preserve"> redress schem</w:t>
      </w:r>
      <w:r w:rsidR="001535A0">
        <w:rPr>
          <w:rStyle w:val="xcontentpasted0"/>
          <w:rFonts w:ascii="Cambria" w:hAnsi="Cambria"/>
          <w:color w:val="000000" w:themeColor="text1"/>
          <w:bdr w:val="none" w:sz="0" w:space="0" w:color="auto" w:frame="1"/>
        </w:rPr>
        <w:t>e, we recommend that a range be adopted</w:t>
      </w:r>
      <w:r w:rsidR="00587598">
        <w:rPr>
          <w:rStyle w:val="xcontentpasted0"/>
          <w:rFonts w:ascii="Cambria" w:hAnsi="Cambria"/>
          <w:color w:val="000000" w:themeColor="text1"/>
          <w:bdr w:val="none" w:sz="0" w:space="0" w:color="auto" w:frame="1"/>
        </w:rPr>
        <w:t xml:space="preserve"> such as $10,000-$</w:t>
      </w:r>
      <w:r w:rsidR="0045230A">
        <w:rPr>
          <w:rStyle w:val="xcontentpasted0"/>
          <w:rFonts w:ascii="Cambria" w:hAnsi="Cambria"/>
          <w:color w:val="000000" w:themeColor="text1"/>
          <w:bdr w:val="none" w:sz="0" w:space="0" w:color="auto" w:frame="1"/>
        </w:rPr>
        <w:t>20,000</w:t>
      </w:r>
      <w:r w:rsidR="00587598">
        <w:rPr>
          <w:rStyle w:val="xcontentpasted0"/>
          <w:rFonts w:ascii="Cambria" w:hAnsi="Cambria"/>
          <w:color w:val="000000" w:themeColor="text1"/>
          <w:bdr w:val="none" w:sz="0" w:space="0" w:color="auto" w:frame="1"/>
        </w:rPr>
        <w:t xml:space="preserve"> for </w:t>
      </w:r>
      <w:r w:rsidR="00587598" w:rsidRPr="00587598">
        <w:rPr>
          <w:rStyle w:val="xcontentpasted0"/>
          <w:rFonts w:ascii="Cambria" w:hAnsi="Cambria"/>
          <w:color w:val="000000" w:themeColor="text1"/>
          <w:bdr w:val="none" w:sz="0" w:space="0" w:color="auto" w:frame="1"/>
        </w:rPr>
        <w:t>applicants who have a charge expunged which did not appear on their criminal record</w:t>
      </w:r>
      <w:r w:rsidR="00587598">
        <w:rPr>
          <w:rStyle w:val="xcontentpasted0"/>
          <w:rFonts w:ascii="Cambria" w:hAnsi="Cambria"/>
          <w:color w:val="000000" w:themeColor="text1"/>
          <w:bdr w:val="none" w:sz="0" w:space="0" w:color="auto" w:frame="1"/>
        </w:rPr>
        <w:t xml:space="preserve"> and $2</w:t>
      </w:r>
      <w:r w:rsidR="00B16EF1">
        <w:rPr>
          <w:rStyle w:val="xcontentpasted0"/>
          <w:rFonts w:ascii="Cambria" w:hAnsi="Cambria"/>
          <w:color w:val="000000" w:themeColor="text1"/>
          <w:bdr w:val="none" w:sz="0" w:space="0" w:color="auto" w:frame="1"/>
        </w:rPr>
        <w:t>0,000</w:t>
      </w:r>
      <w:r w:rsidR="00587598">
        <w:rPr>
          <w:rStyle w:val="xcontentpasted0"/>
          <w:rFonts w:ascii="Cambria" w:hAnsi="Cambria"/>
          <w:color w:val="000000" w:themeColor="text1"/>
          <w:bdr w:val="none" w:sz="0" w:space="0" w:color="auto" w:frame="1"/>
        </w:rPr>
        <w:t>-$</w:t>
      </w:r>
      <w:r w:rsidR="00B16EF1">
        <w:rPr>
          <w:rStyle w:val="xcontentpasted0"/>
          <w:rFonts w:ascii="Cambria" w:hAnsi="Cambria"/>
          <w:color w:val="000000" w:themeColor="text1"/>
          <w:bdr w:val="none" w:sz="0" w:space="0" w:color="auto" w:frame="1"/>
        </w:rPr>
        <w:t>50</w:t>
      </w:r>
      <w:r w:rsidR="00587598">
        <w:rPr>
          <w:rStyle w:val="xcontentpasted0"/>
          <w:rFonts w:ascii="Cambria" w:hAnsi="Cambria"/>
          <w:color w:val="000000" w:themeColor="text1"/>
          <w:bdr w:val="none" w:sz="0" w:space="0" w:color="auto" w:frame="1"/>
        </w:rPr>
        <w:t xml:space="preserve">,000 </w:t>
      </w:r>
      <w:r w:rsidR="00587598" w:rsidRPr="00587598">
        <w:rPr>
          <w:rStyle w:val="xcontentpasted0"/>
          <w:rFonts w:ascii="Cambria" w:hAnsi="Cambria"/>
          <w:color w:val="000000" w:themeColor="text1"/>
          <w:bdr w:val="none" w:sz="0" w:space="0" w:color="auto" w:frame="1"/>
        </w:rPr>
        <w:t>for applicants who have conviction/s or charge/s actually recorded on their official criminal record which is or are expunged</w:t>
      </w:r>
      <w:r w:rsidR="00587598">
        <w:rPr>
          <w:rStyle w:val="xcontentpasted0"/>
          <w:rFonts w:ascii="Cambria" w:hAnsi="Cambria"/>
          <w:color w:val="000000" w:themeColor="text1"/>
          <w:bdr w:val="none" w:sz="0" w:space="0" w:color="auto" w:frame="1"/>
        </w:rPr>
        <w:t>.</w:t>
      </w:r>
    </w:p>
    <w:p w:rsidR="0045230A" w:rsidRPr="00FB0490" w:rsidRDefault="0045230A" w:rsidP="0045230A">
      <w:pPr>
        <w:pStyle w:val="xmsonormal"/>
        <w:shd w:val="clear" w:color="auto" w:fill="FFFFFF"/>
        <w:spacing w:before="0" w:beforeAutospacing="0" w:after="0" w:afterAutospacing="0"/>
        <w:jc w:val="both"/>
        <w:rPr>
          <w:rFonts w:ascii="Cambria" w:hAnsi="Cambria"/>
        </w:rPr>
      </w:pPr>
    </w:p>
    <w:p w:rsidR="0045230A" w:rsidRPr="00FB0490" w:rsidRDefault="0045230A" w:rsidP="0045230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FB0490">
        <w:rPr>
          <w:rFonts w:ascii="Cambria" w:hAnsi="Cambria"/>
          <w:b/>
          <w:bCs/>
        </w:rPr>
        <w:t>Recommendation:</w:t>
      </w:r>
      <w:r w:rsidRPr="00FB0490">
        <w:rPr>
          <w:rFonts w:ascii="Cambria" w:hAnsi="Cambria"/>
        </w:rPr>
        <w:t xml:space="preserve"> That </w:t>
      </w:r>
      <w:r>
        <w:rPr>
          <w:rFonts w:ascii="Cambria" w:hAnsi="Cambria"/>
        </w:rPr>
        <w:t xml:space="preserve">a redress scheme is implemented that takes into account the individual circumstances of the victim. </w:t>
      </w:r>
    </w:p>
    <w:p w:rsidR="00775462" w:rsidRDefault="00775462" w:rsidP="006669C8">
      <w:pPr>
        <w:ind w:right="-347"/>
        <w:jc w:val="both"/>
        <w:rPr>
          <w:rStyle w:val="xcontentpasted0"/>
          <w:rFonts w:ascii="Cambria" w:hAnsi="Cambria"/>
          <w:color w:val="000000" w:themeColor="text1"/>
          <w:bdr w:val="none" w:sz="0" w:space="0" w:color="auto" w:frame="1"/>
        </w:rPr>
      </w:pPr>
    </w:p>
    <w:p w:rsidR="001535A0" w:rsidRPr="00587598" w:rsidRDefault="00587598" w:rsidP="006669C8">
      <w:pPr>
        <w:ind w:right="-347"/>
        <w:jc w:val="both"/>
        <w:rPr>
          <w:rStyle w:val="xcontentpasted0"/>
          <w:rFonts w:ascii="Cambria" w:hAnsi="Cambria"/>
          <w:b/>
          <w:bCs/>
          <w:color w:val="000000" w:themeColor="text1"/>
          <w:bdr w:val="none" w:sz="0" w:space="0" w:color="auto" w:frame="1"/>
        </w:rPr>
      </w:pPr>
      <w:r w:rsidRPr="00587598">
        <w:rPr>
          <w:rStyle w:val="xcontentpasted0"/>
          <w:rFonts w:ascii="Cambria" w:hAnsi="Cambria"/>
          <w:b/>
          <w:bCs/>
          <w:color w:val="000000" w:themeColor="text1"/>
          <w:bdr w:val="none" w:sz="0" w:space="0" w:color="auto" w:frame="1"/>
        </w:rPr>
        <w:t>Independ</w:t>
      </w:r>
      <w:r w:rsidR="00B16EF1">
        <w:rPr>
          <w:rStyle w:val="xcontentpasted0"/>
          <w:rFonts w:ascii="Cambria" w:hAnsi="Cambria"/>
          <w:b/>
          <w:bCs/>
          <w:color w:val="000000" w:themeColor="text1"/>
          <w:bdr w:val="none" w:sz="0" w:space="0" w:color="auto" w:frame="1"/>
        </w:rPr>
        <w:t xml:space="preserve">ent </w:t>
      </w:r>
      <w:r w:rsidRPr="00587598">
        <w:rPr>
          <w:rStyle w:val="xcontentpasted0"/>
          <w:rFonts w:ascii="Cambria" w:hAnsi="Cambria"/>
          <w:b/>
          <w:bCs/>
          <w:color w:val="000000" w:themeColor="text1"/>
          <w:bdr w:val="none" w:sz="0" w:space="0" w:color="auto" w:frame="1"/>
        </w:rPr>
        <w:t>Assessor</w:t>
      </w:r>
    </w:p>
    <w:p w:rsidR="00BC73CF" w:rsidRDefault="005D3001" w:rsidP="006669C8">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t>Tasmania</w:t>
      </w:r>
      <w:r w:rsidR="006708B3">
        <w:rPr>
          <w:rStyle w:val="xcontentpasted0"/>
          <w:rFonts w:ascii="Cambria" w:hAnsi="Cambria"/>
          <w:color w:val="000000" w:themeColor="text1"/>
          <w:bdr w:val="none" w:sz="0" w:space="0" w:color="auto" w:frame="1"/>
        </w:rPr>
        <w:t xml:space="preserve"> appointed an independent assessor as part of its</w:t>
      </w:r>
      <w:r>
        <w:rPr>
          <w:rStyle w:val="xcontentpasted0"/>
          <w:rFonts w:ascii="Cambria" w:hAnsi="Cambria"/>
          <w:color w:val="000000" w:themeColor="text1"/>
          <w:bdr w:val="none" w:sz="0" w:space="0" w:color="auto" w:frame="1"/>
        </w:rPr>
        <w:t xml:space="preserve"> </w:t>
      </w:r>
      <w:r w:rsidRPr="00956695">
        <w:rPr>
          <w:rStyle w:val="xcontentpasted0"/>
          <w:rFonts w:ascii="Cambria" w:hAnsi="Cambria"/>
          <w:i/>
          <w:iCs/>
          <w:color w:val="000000" w:themeColor="text1"/>
          <w:bdr w:val="none" w:sz="0" w:space="0" w:color="auto" w:frame="1"/>
        </w:rPr>
        <w:t>Abuse in State Care Review</w:t>
      </w:r>
      <w:r w:rsidRPr="005D3001">
        <w:rPr>
          <w:rStyle w:val="xcontentpasted0"/>
          <w:rFonts w:ascii="Cambria" w:hAnsi="Cambria"/>
          <w:color w:val="000000" w:themeColor="text1"/>
          <w:bdr w:val="none" w:sz="0" w:space="0" w:color="auto" w:frame="1"/>
        </w:rPr>
        <w:t>.</w:t>
      </w:r>
      <w:r w:rsidR="00B16EF1">
        <w:rPr>
          <w:rStyle w:val="FootnoteReference"/>
          <w:rFonts w:ascii="Cambria" w:hAnsi="Cambria"/>
          <w:color w:val="000000" w:themeColor="text1"/>
          <w:bdr w:val="none" w:sz="0" w:space="0" w:color="auto" w:frame="1"/>
        </w:rPr>
        <w:footnoteReference w:id="8"/>
      </w:r>
      <w:r w:rsidR="006708B3">
        <w:rPr>
          <w:rStyle w:val="xcontentpasted0"/>
          <w:rFonts w:ascii="Cambria" w:hAnsi="Cambria"/>
          <w:color w:val="000000" w:themeColor="text1"/>
          <w:bdr w:val="none" w:sz="0" w:space="0" w:color="auto" w:frame="1"/>
        </w:rPr>
        <w:t xml:space="preserve"> More recently, in </w:t>
      </w:r>
      <w:r w:rsidR="00FD6CC2">
        <w:rPr>
          <w:rStyle w:val="xcontentpasted0"/>
          <w:rFonts w:ascii="Cambria" w:hAnsi="Cambria"/>
          <w:color w:val="000000" w:themeColor="text1"/>
          <w:bdr w:val="none" w:sz="0" w:space="0" w:color="auto" w:frame="1"/>
        </w:rPr>
        <w:t xml:space="preserve">providing advice to </w:t>
      </w:r>
      <w:r w:rsidR="006708B3">
        <w:rPr>
          <w:rStyle w:val="xcontentpasted0"/>
          <w:rFonts w:ascii="Cambria" w:hAnsi="Cambria"/>
          <w:color w:val="000000" w:themeColor="text1"/>
          <w:bdr w:val="none" w:sz="0" w:space="0" w:color="auto" w:frame="1"/>
        </w:rPr>
        <w:t xml:space="preserve">the </w:t>
      </w:r>
      <w:r w:rsidR="006708B3" w:rsidRPr="00124175">
        <w:rPr>
          <w:rStyle w:val="xcontentpasted0"/>
          <w:rFonts w:ascii="Cambria" w:hAnsi="Cambria"/>
          <w:i/>
          <w:iCs/>
          <w:color w:val="000000" w:themeColor="text1"/>
          <w:bdr w:val="none" w:sz="0" w:space="0" w:color="auto" w:frame="1"/>
        </w:rPr>
        <w:t>Royal Commission into Institutional Responses to Child Sexual Abuse</w:t>
      </w:r>
      <w:r w:rsidR="006708B3">
        <w:rPr>
          <w:rStyle w:val="xcontentpasted0"/>
          <w:rFonts w:ascii="Cambria" w:hAnsi="Cambria"/>
          <w:i/>
          <w:iCs/>
          <w:color w:val="000000" w:themeColor="text1"/>
          <w:bdr w:val="none" w:sz="0" w:space="0" w:color="auto" w:frame="1"/>
        </w:rPr>
        <w:t xml:space="preserve"> </w:t>
      </w:r>
      <w:r w:rsidR="00FD6CC2">
        <w:rPr>
          <w:rStyle w:val="xcontentpasted0"/>
          <w:rFonts w:ascii="Cambria" w:hAnsi="Cambria"/>
          <w:color w:val="000000" w:themeColor="text1"/>
          <w:bdr w:val="none" w:sz="0" w:space="0" w:color="auto" w:frame="1"/>
        </w:rPr>
        <w:t>the Tasmania Government acknowledged that the independence of the decision-maker was crucial due to the victim’s lack of trust in the perpetrator and their capacity to assess the level of harm caused by the wrong</w:t>
      </w:r>
      <w:r w:rsidR="006708B3">
        <w:rPr>
          <w:rStyle w:val="xcontentpasted0"/>
          <w:rFonts w:ascii="Cambria" w:hAnsi="Cambria"/>
          <w:color w:val="000000" w:themeColor="text1"/>
          <w:bdr w:val="none" w:sz="0" w:space="0" w:color="auto" w:frame="1"/>
        </w:rPr>
        <w:t>:</w:t>
      </w:r>
      <w:r w:rsidR="006708B3">
        <w:rPr>
          <w:rStyle w:val="FootnoteReference"/>
          <w:rFonts w:ascii="Cambria" w:hAnsi="Cambria"/>
          <w:color w:val="000000" w:themeColor="text1"/>
          <w:bdr w:val="none" w:sz="0" w:space="0" w:color="auto" w:frame="1"/>
        </w:rPr>
        <w:footnoteReference w:id="9"/>
      </w:r>
      <w:r w:rsidR="00BC73CF">
        <w:rPr>
          <w:rStyle w:val="xcontentpasted0"/>
          <w:rFonts w:ascii="Cambria" w:hAnsi="Cambria"/>
          <w:color w:val="000000" w:themeColor="text1"/>
          <w:bdr w:val="none" w:sz="0" w:space="0" w:color="auto" w:frame="1"/>
        </w:rPr>
        <w:t xml:space="preserve"> </w:t>
      </w:r>
    </w:p>
    <w:p w:rsidR="00BC73CF" w:rsidRDefault="00BC73CF" w:rsidP="006669C8">
      <w:pPr>
        <w:ind w:right="-347"/>
        <w:jc w:val="both"/>
        <w:rPr>
          <w:rStyle w:val="xcontentpasted0"/>
          <w:rFonts w:ascii="Cambria" w:hAnsi="Cambria"/>
          <w:color w:val="000000" w:themeColor="text1"/>
          <w:bdr w:val="none" w:sz="0" w:space="0" w:color="auto" w:frame="1"/>
        </w:rPr>
      </w:pPr>
    </w:p>
    <w:p w:rsidR="00BC73CF" w:rsidRDefault="00BC73CF" w:rsidP="006708B3">
      <w:pPr>
        <w:ind w:left="720" w:right="-347"/>
        <w:jc w:val="both"/>
        <w:rPr>
          <w:rStyle w:val="xcontentpasted0"/>
          <w:rFonts w:ascii="Cambria" w:hAnsi="Cambria"/>
          <w:i/>
          <w:iCs/>
          <w:color w:val="000000" w:themeColor="text1"/>
          <w:bdr w:val="none" w:sz="0" w:space="0" w:color="auto" w:frame="1"/>
        </w:rPr>
      </w:pPr>
      <w:r w:rsidRPr="00BC73CF">
        <w:rPr>
          <w:rStyle w:val="xcontentpasted0"/>
          <w:rFonts w:ascii="Cambria" w:hAnsi="Cambria"/>
          <w:i/>
          <w:iCs/>
          <w:color w:val="000000" w:themeColor="text1"/>
          <w:bdr w:val="none" w:sz="0" w:space="0" w:color="auto" w:frame="1"/>
        </w:rPr>
        <w:t>In establishing redress schemes, it is important to recognise the lack of trust claimants may have for the institution against which they are making claims.</w:t>
      </w:r>
      <w:r w:rsidR="006708B3">
        <w:rPr>
          <w:rStyle w:val="xcontentpasted0"/>
          <w:rFonts w:ascii="Cambria" w:hAnsi="Cambria"/>
          <w:i/>
          <w:iCs/>
          <w:color w:val="000000" w:themeColor="text1"/>
          <w:bdr w:val="none" w:sz="0" w:space="0" w:color="auto" w:frame="1"/>
        </w:rPr>
        <w:t xml:space="preserve"> </w:t>
      </w:r>
      <w:r w:rsidRPr="00BC73CF">
        <w:rPr>
          <w:rStyle w:val="xcontentpasted0"/>
          <w:rFonts w:ascii="Cambria" w:hAnsi="Cambria"/>
          <w:i/>
          <w:iCs/>
          <w:color w:val="000000" w:themeColor="text1"/>
          <w:bdr w:val="none" w:sz="0" w:space="0" w:color="auto" w:frame="1"/>
        </w:rPr>
        <w:t>While institutions may establish internal redress schemes, and indeed there are some advantages to this in terms of accessing client information and providing supported</w:t>
      </w:r>
      <w:r>
        <w:rPr>
          <w:rStyle w:val="xcontentpasted0"/>
          <w:rFonts w:ascii="Cambria" w:hAnsi="Cambria"/>
          <w:i/>
          <w:iCs/>
          <w:color w:val="000000" w:themeColor="text1"/>
          <w:bdr w:val="none" w:sz="0" w:space="0" w:color="auto" w:frame="1"/>
        </w:rPr>
        <w:t xml:space="preserve"> </w:t>
      </w:r>
      <w:r w:rsidRPr="00BC73CF">
        <w:rPr>
          <w:rStyle w:val="xcontentpasted0"/>
          <w:rFonts w:ascii="Cambria" w:hAnsi="Cambria"/>
          <w:i/>
          <w:iCs/>
          <w:color w:val="000000" w:themeColor="text1"/>
          <w:bdr w:val="none" w:sz="0" w:space="0" w:color="auto" w:frame="1"/>
        </w:rPr>
        <w:t xml:space="preserve">file access, </w:t>
      </w:r>
      <w:r w:rsidRPr="00FD6CC2">
        <w:rPr>
          <w:rStyle w:val="xcontentpasted0"/>
          <w:rFonts w:ascii="Cambria" w:hAnsi="Cambria"/>
          <w:b/>
          <w:bCs/>
          <w:i/>
          <w:iCs/>
          <w:color w:val="000000" w:themeColor="text1"/>
          <w:bdr w:val="none" w:sz="0" w:space="0" w:color="auto" w:frame="1"/>
        </w:rPr>
        <w:t>there is merit in establishing an independent decision-maker, particularly with regard to any payment to be made to claimants</w:t>
      </w:r>
      <w:r w:rsidR="00FD6CC2" w:rsidRPr="00FD6CC2">
        <w:rPr>
          <w:rStyle w:val="xcontentpasted0"/>
          <w:rFonts w:ascii="Cambria" w:hAnsi="Cambria"/>
          <w:b/>
          <w:bCs/>
          <w:i/>
          <w:iCs/>
          <w:color w:val="000000" w:themeColor="text1"/>
          <w:bdr w:val="none" w:sz="0" w:space="0" w:color="auto" w:frame="1"/>
        </w:rPr>
        <w:t xml:space="preserve"> [emphasis added]</w:t>
      </w:r>
      <w:r w:rsidRPr="00FD6CC2">
        <w:rPr>
          <w:rStyle w:val="xcontentpasted0"/>
          <w:rFonts w:ascii="Cambria" w:hAnsi="Cambria"/>
          <w:b/>
          <w:bCs/>
          <w:i/>
          <w:iCs/>
          <w:color w:val="000000" w:themeColor="text1"/>
          <w:bdr w:val="none" w:sz="0" w:space="0" w:color="auto" w:frame="1"/>
        </w:rPr>
        <w:t xml:space="preserve">. </w:t>
      </w:r>
    </w:p>
    <w:p w:rsidR="00A1633C" w:rsidRDefault="00A1633C" w:rsidP="006669C8">
      <w:pPr>
        <w:ind w:right="-347"/>
        <w:jc w:val="both"/>
        <w:rPr>
          <w:rStyle w:val="xcontentpasted0"/>
          <w:rFonts w:ascii="Cambria" w:hAnsi="Cambria"/>
          <w:color w:val="000000" w:themeColor="text1"/>
          <w:bdr w:val="none" w:sz="0" w:space="0" w:color="auto" w:frame="1"/>
        </w:rPr>
      </w:pPr>
    </w:p>
    <w:p w:rsidR="00A1633C" w:rsidRDefault="00FD6CC2" w:rsidP="006669C8">
      <w:pPr>
        <w:ind w:right="-347"/>
        <w:jc w:val="both"/>
        <w:rPr>
          <w:rStyle w:val="xcontentpasted0"/>
          <w:rFonts w:ascii="Cambria" w:hAnsi="Cambria"/>
          <w:color w:val="000000" w:themeColor="text1"/>
          <w:bdr w:val="none" w:sz="0" w:space="0" w:color="auto" w:frame="1"/>
        </w:rPr>
      </w:pPr>
      <w:r>
        <w:rPr>
          <w:rStyle w:val="xcontentpasted0"/>
          <w:rFonts w:ascii="Cambria" w:hAnsi="Cambria"/>
          <w:color w:val="000000" w:themeColor="text1"/>
          <w:bdr w:val="none" w:sz="0" w:space="0" w:color="auto" w:frame="1"/>
        </w:rPr>
        <w:t>We strongly agree that an independent decision-maker should be appointed to determine the redres</w:t>
      </w:r>
      <w:r w:rsidR="008B69E1">
        <w:rPr>
          <w:rStyle w:val="xcontentpasted0"/>
          <w:rFonts w:ascii="Cambria" w:hAnsi="Cambria"/>
          <w:color w:val="000000" w:themeColor="text1"/>
          <w:bdr w:val="none" w:sz="0" w:space="0" w:color="auto" w:frame="1"/>
        </w:rPr>
        <w:t>s</w:t>
      </w:r>
      <w:r>
        <w:rPr>
          <w:rStyle w:val="xcontentpasted0"/>
          <w:rFonts w:ascii="Cambria" w:hAnsi="Cambria"/>
          <w:color w:val="000000" w:themeColor="text1"/>
          <w:bdr w:val="none" w:sz="0" w:space="0" w:color="auto" w:frame="1"/>
        </w:rPr>
        <w:t xml:space="preserve"> paid.</w:t>
      </w:r>
      <w:r w:rsidR="00B16EF1">
        <w:rPr>
          <w:rStyle w:val="xcontentpasted0"/>
          <w:rFonts w:ascii="Cambria" w:hAnsi="Cambria"/>
          <w:color w:val="000000" w:themeColor="text1"/>
          <w:bdr w:val="none" w:sz="0" w:space="0" w:color="auto" w:frame="1"/>
        </w:rPr>
        <w:t xml:space="preserve"> Independent decision-making leads to confidence to in the decision reach and may encourage more applications.   </w:t>
      </w:r>
      <w:r>
        <w:rPr>
          <w:rStyle w:val="xcontentpasted0"/>
          <w:rFonts w:ascii="Cambria" w:hAnsi="Cambria"/>
          <w:color w:val="000000" w:themeColor="text1"/>
          <w:bdr w:val="none" w:sz="0" w:space="0" w:color="auto" w:frame="1"/>
        </w:rPr>
        <w:t xml:space="preserve">  </w:t>
      </w:r>
    </w:p>
    <w:p w:rsidR="0045230A" w:rsidRPr="00FB0490" w:rsidRDefault="0045230A" w:rsidP="0045230A">
      <w:pPr>
        <w:pStyle w:val="xmsonormal"/>
        <w:shd w:val="clear" w:color="auto" w:fill="FFFFFF"/>
        <w:spacing w:before="0" w:beforeAutospacing="0" w:after="0" w:afterAutospacing="0"/>
        <w:jc w:val="both"/>
        <w:rPr>
          <w:rFonts w:ascii="Cambria" w:hAnsi="Cambria"/>
        </w:rPr>
      </w:pPr>
    </w:p>
    <w:p w:rsidR="0045230A" w:rsidRPr="00FB0490" w:rsidRDefault="0045230A" w:rsidP="0045230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FB0490">
        <w:rPr>
          <w:rFonts w:ascii="Cambria" w:hAnsi="Cambria"/>
          <w:b/>
          <w:bCs/>
        </w:rPr>
        <w:t>Recommendation:</w:t>
      </w:r>
      <w:r w:rsidRPr="00FB0490">
        <w:rPr>
          <w:rFonts w:ascii="Cambria" w:hAnsi="Cambria"/>
        </w:rPr>
        <w:t xml:space="preserve"> That</w:t>
      </w:r>
      <w:r>
        <w:rPr>
          <w:rFonts w:ascii="Cambria" w:hAnsi="Cambria"/>
        </w:rPr>
        <w:t xml:space="preserve"> an independent assessor be appointed to assess the redress paid to victims. </w:t>
      </w:r>
    </w:p>
    <w:p w:rsidR="00DB1ECF" w:rsidRDefault="00DB1ECF" w:rsidP="00DF4B8F">
      <w:pPr>
        <w:ind w:right="-347"/>
        <w:jc w:val="both"/>
        <w:rPr>
          <w:rStyle w:val="xcontentpasted0"/>
          <w:rFonts w:ascii="Cambria" w:hAnsi="Cambria"/>
          <w:color w:val="000000" w:themeColor="text1"/>
          <w:bdr w:val="none" w:sz="0" w:space="0" w:color="auto" w:frame="1"/>
        </w:rPr>
      </w:pPr>
    </w:p>
    <w:p w:rsidR="00806B73" w:rsidRPr="003020EF" w:rsidRDefault="00806B73" w:rsidP="00806B73">
      <w:pPr>
        <w:ind w:right="-347"/>
        <w:jc w:val="both"/>
        <w:rPr>
          <w:rFonts w:ascii="Cambria" w:hAnsi="Cambria"/>
          <w:color w:val="000000" w:themeColor="text1"/>
          <w:bdr w:val="none" w:sz="0" w:space="0" w:color="auto" w:frame="1"/>
        </w:rPr>
      </w:pPr>
      <w:r w:rsidRPr="003020EF">
        <w:rPr>
          <w:rStyle w:val="xcontentpasted0"/>
          <w:rFonts w:ascii="Cambria" w:hAnsi="Cambria"/>
          <w:color w:val="000000" w:themeColor="text1"/>
          <w:bdr w:val="none" w:sz="0" w:space="0" w:color="auto" w:frame="1"/>
        </w:rPr>
        <w:t xml:space="preserve">If you have any queries, please do not hesitate to contact us. </w:t>
      </w:r>
    </w:p>
    <w:p w:rsidR="00806B73" w:rsidRPr="003020EF" w:rsidRDefault="00806B73" w:rsidP="00806B73">
      <w:pPr>
        <w:ind w:right="-347"/>
        <w:jc w:val="both"/>
        <w:rPr>
          <w:rFonts w:ascii="Cambria" w:hAnsi="Cambria"/>
          <w:color w:val="000000" w:themeColor="text1"/>
          <w:bdr w:val="none" w:sz="0" w:space="0" w:color="auto" w:frame="1"/>
        </w:rPr>
      </w:pPr>
    </w:p>
    <w:p w:rsidR="00806B73" w:rsidRPr="003020EF" w:rsidRDefault="00806B73" w:rsidP="00806B73">
      <w:pPr>
        <w:shd w:val="clear" w:color="auto" w:fill="FFFFFF"/>
        <w:ind w:right="-347"/>
        <w:jc w:val="both"/>
        <w:rPr>
          <w:rFonts w:ascii="Cambria" w:hAnsi="Cambria"/>
          <w:bCs/>
          <w:color w:val="000000" w:themeColor="text1"/>
        </w:rPr>
      </w:pPr>
    </w:p>
    <w:p w:rsidR="00806B73" w:rsidRPr="003020EF" w:rsidRDefault="00806B73" w:rsidP="00806B73">
      <w:pPr>
        <w:shd w:val="clear" w:color="auto" w:fill="FFFFFF"/>
        <w:ind w:right="-347"/>
        <w:jc w:val="both"/>
        <w:rPr>
          <w:rFonts w:ascii="Cambria" w:hAnsi="Cambria"/>
          <w:bCs/>
          <w:color w:val="000000" w:themeColor="text1"/>
        </w:rPr>
      </w:pPr>
      <w:r w:rsidRPr="003020EF">
        <w:rPr>
          <w:rFonts w:ascii="Cambria" w:hAnsi="Cambria"/>
          <w:bCs/>
          <w:color w:val="000000" w:themeColor="text1"/>
        </w:rPr>
        <w:t>Yours faithfully,</w:t>
      </w:r>
    </w:p>
    <w:p w:rsidR="00806B73" w:rsidRDefault="00806B73" w:rsidP="00806B73">
      <w:pPr>
        <w:shd w:val="clear" w:color="auto" w:fill="FFFFFF"/>
        <w:ind w:right="-347"/>
        <w:jc w:val="both"/>
        <w:rPr>
          <w:rFonts w:ascii="Cambria" w:hAnsi="Cambria"/>
          <w:bCs/>
          <w:color w:val="000000" w:themeColor="text1"/>
        </w:rPr>
      </w:pPr>
    </w:p>
    <w:p w:rsidR="00806B73" w:rsidRDefault="00806B73" w:rsidP="00806B73">
      <w:pPr>
        <w:shd w:val="clear" w:color="auto" w:fill="FFFFFF"/>
        <w:ind w:right="-347"/>
        <w:jc w:val="both"/>
        <w:rPr>
          <w:rFonts w:ascii="Cambria" w:hAnsi="Cambria"/>
          <w:bCs/>
          <w:color w:val="000000" w:themeColor="text1"/>
        </w:rPr>
      </w:pPr>
    </w:p>
    <w:p w:rsidR="00806B73" w:rsidRPr="003020EF" w:rsidRDefault="00806B73" w:rsidP="00806B73">
      <w:pPr>
        <w:shd w:val="clear" w:color="auto" w:fill="FFFFFF"/>
        <w:ind w:right="-347"/>
        <w:jc w:val="both"/>
        <w:rPr>
          <w:rFonts w:ascii="Cambria" w:hAnsi="Cambria"/>
          <w:bCs/>
          <w:color w:val="000000" w:themeColor="text1"/>
        </w:rPr>
      </w:pPr>
    </w:p>
    <w:p w:rsidR="00806B73" w:rsidRPr="003020EF" w:rsidRDefault="00806B73" w:rsidP="00806B73">
      <w:pPr>
        <w:shd w:val="clear" w:color="auto" w:fill="FFFFFF"/>
        <w:ind w:right="-347"/>
        <w:jc w:val="both"/>
        <w:rPr>
          <w:rFonts w:ascii="Cambria" w:hAnsi="Cambria"/>
          <w:bCs/>
          <w:color w:val="000000" w:themeColor="text1"/>
        </w:rPr>
      </w:pPr>
      <w:r w:rsidRPr="003020EF">
        <w:rPr>
          <w:rFonts w:ascii="Cambria" w:hAnsi="Cambria"/>
          <w:bCs/>
          <w:color w:val="000000" w:themeColor="text1"/>
        </w:rPr>
        <w:t xml:space="preserve">Benedict </w:t>
      </w:r>
      <w:proofErr w:type="spellStart"/>
      <w:r w:rsidRPr="003020EF">
        <w:rPr>
          <w:rFonts w:ascii="Cambria" w:hAnsi="Cambria"/>
          <w:bCs/>
          <w:color w:val="000000" w:themeColor="text1"/>
        </w:rPr>
        <w:t>Bartl</w:t>
      </w:r>
      <w:proofErr w:type="spellEnd"/>
    </w:p>
    <w:p w:rsidR="00806B73" w:rsidRPr="003020EF" w:rsidRDefault="00806B73" w:rsidP="00806B73">
      <w:pPr>
        <w:shd w:val="clear" w:color="auto" w:fill="FFFFFF"/>
        <w:ind w:right="-347"/>
        <w:jc w:val="both"/>
        <w:rPr>
          <w:rFonts w:ascii="Cambria" w:hAnsi="Cambria"/>
          <w:bCs/>
          <w:color w:val="000000" w:themeColor="text1"/>
        </w:rPr>
      </w:pPr>
      <w:r w:rsidRPr="003020EF">
        <w:rPr>
          <w:rFonts w:ascii="Cambria" w:hAnsi="Cambria"/>
          <w:bCs/>
          <w:color w:val="000000" w:themeColor="text1"/>
        </w:rPr>
        <w:t>Policy Officer</w:t>
      </w:r>
    </w:p>
    <w:p w:rsidR="00806B73" w:rsidRPr="003020EF" w:rsidRDefault="00806B73" w:rsidP="00806B73">
      <w:pPr>
        <w:pBdr>
          <w:bottom w:val="single" w:sz="6" w:space="1" w:color="auto"/>
        </w:pBdr>
        <w:shd w:val="clear" w:color="auto" w:fill="FFFFFF"/>
        <w:ind w:right="-347"/>
        <w:jc w:val="both"/>
        <w:rPr>
          <w:rFonts w:ascii="Cambria" w:hAnsi="Cambria"/>
          <w:b/>
          <w:bCs/>
          <w:color w:val="000000" w:themeColor="text1"/>
        </w:rPr>
      </w:pPr>
      <w:r w:rsidRPr="003020EF">
        <w:rPr>
          <w:rFonts w:ascii="Cambria" w:hAnsi="Cambria"/>
          <w:b/>
          <w:bCs/>
          <w:color w:val="000000" w:themeColor="text1"/>
        </w:rPr>
        <w:t>Community Legal Centres Tasmania</w:t>
      </w:r>
    </w:p>
    <w:p w:rsidR="00A1633C" w:rsidRDefault="00A1633C"/>
    <w:p w:rsidR="000C4FEA" w:rsidRDefault="000C4FEA"/>
    <w:sectPr w:rsidR="000C4FEA"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B3A" w:rsidRDefault="00652B3A" w:rsidP="00057161">
      <w:r>
        <w:separator/>
      </w:r>
    </w:p>
  </w:endnote>
  <w:endnote w:type="continuationSeparator" w:id="0">
    <w:p w:rsidR="00652B3A" w:rsidRDefault="00652B3A" w:rsidP="0005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B3A" w:rsidRDefault="00652B3A" w:rsidP="00057161">
      <w:r>
        <w:separator/>
      </w:r>
    </w:p>
  </w:footnote>
  <w:footnote w:type="continuationSeparator" w:id="0">
    <w:p w:rsidR="00652B3A" w:rsidRDefault="00652B3A" w:rsidP="00057161">
      <w:r>
        <w:continuationSeparator/>
      </w:r>
    </w:p>
  </w:footnote>
  <w:footnote w:id="1">
    <w:p w:rsidR="00057161" w:rsidRPr="006669C8" w:rsidRDefault="00057161" w:rsidP="00057161">
      <w:pPr>
        <w:pStyle w:val="FootnoteText"/>
        <w:rPr>
          <w:rFonts w:ascii="Cambria" w:hAnsi="Cambria"/>
          <w:color w:val="000000" w:themeColor="text1"/>
          <w:sz w:val="20"/>
          <w:szCs w:val="20"/>
        </w:rPr>
      </w:pPr>
      <w:r w:rsidRPr="006669C8">
        <w:rPr>
          <w:rStyle w:val="FootnoteReference"/>
          <w:rFonts w:ascii="Cambria" w:hAnsi="Cambria"/>
          <w:color w:val="000000" w:themeColor="text1"/>
          <w:sz w:val="20"/>
          <w:szCs w:val="20"/>
        </w:rPr>
        <w:footnoteRef/>
      </w:r>
      <w:r w:rsidRPr="006669C8">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DF4B8F" w:rsidRPr="006669C8" w:rsidRDefault="00DF4B8F" w:rsidP="00DF4B8F">
      <w:pPr>
        <w:pStyle w:val="FootnoteText"/>
        <w:rPr>
          <w:rFonts w:ascii="Cambria" w:hAnsi="Cambria"/>
          <w:sz w:val="20"/>
          <w:szCs w:val="20"/>
        </w:rPr>
      </w:pPr>
      <w:r w:rsidRPr="006669C8">
        <w:rPr>
          <w:rStyle w:val="FootnoteReference"/>
          <w:rFonts w:ascii="Cambria" w:hAnsi="Cambria"/>
          <w:sz w:val="20"/>
          <w:szCs w:val="20"/>
        </w:rPr>
        <w:footnoteRef/>
      </w:r>
      <w:r w:rsidRPr="006669C8">
        <w:rPr>
          <w:rFonts w:ascii="Cambria" w:hAnsi="Cambria"/>
          <w:sz w:val="20"/>
          <w:szCs w:val="20"/>
        </w:rPr>
        <w:t xml:space="preserve"> </w:t>
      </w:r>
      <w:r w:rsidRPr="006669C8">
        <w:rPr>
          <w:rFonts w:ascii="Cambria" w:hAnsi="Cambria"/>
          <w:color w:val="000000" w:themeColor="text1"/>
          <w:sz w:val="20"/>
          <w:szCs w:val="20"/>
        </w:rPr>
        <w:t xml:space="preserve">Tasmania, </w:t>
      </w:r>
      <w:r w:rsidRPr="006669C8">
        <w:rPr>
          <w:rFonts w:ascii="Cambria" w:hAnsi="Cambria"/>
          <w:i/>
          <w:iCs/>
          <w:color w:val="000000" w:themeColor="text1"/>
          <w:sz w:val="20"/>
          <w:szCs w:val="20"/>
        </w:rPr>
        <w:t>Parliamentary Debates</w:t>
      </w:r>
      <w:r w:rsidRPr="006669C8">
        <w:rPr>
          <w:rFonts w:ascii="Cambria" w:hAnsi="Cambria"/>
          <w:color w:val="000000" w:themeColor="text1"/>
          <w:sz w:val="20"/>
          <w:szCs w:val="20"/>
        </w:rPr>
        <w:t>, House of Assembly, 13 April 2017 at 54.</w:t>
      </w:r>
    </w:p>
  </w:footnote>
  <w:footnote w:id="3">
    <w:p w:rsidR="006669C8" w:rsidRPr="00C82063" w:rsidRDefault="006669C8" w:rsidP="006669C8">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00390C6C" w:rsidRPr="006669C8">
        <w:rPr>
          <w:rFonts w:ascii="Cambria" w:hAnsi="Cambria"/>
          <w:sz w:val="20"/>
          <w:szCs w:val="20"/>
        </w:rPr>
        <w:t xml:space="preserve">Melanie Bartlett and Taya </w:t>
      </w:r>
      <w:proofErr w:type="spellStart"/>
      <w:r w:rsidR="00390C6C" w:rsidRPr="006669C8">
        <w:rPr>
          <w:rFonts w:ascii="Cambria" w:hAnsi="Cambria"/>
          <w:sz w:val="20"/>
          <w:szCs w:val="20"/>
        </w:rPr>
        <w:t>Ketalaar</w:t>
      </w:r>
      <w:proofErr w:type="spellEnd"/>
      <w:r w:rsidR="00390C6C" w:rsidRPr="006669C8">
        <w:rPr>
          <w:rFonts w:ascii="Cambria" w:hAnsi="Cambria"/>
          <w:sz w:val="20"/>
          <w:szCs w:val="20"/>
        </w:rPr>
        <w:t xml:space="preserve">-Jones, </w:t>
      </w:r>
      <w:r w:rsidR="00390C6C" w:rsidRPr="006669C8">
        <w:rPr>
          <w:rStyle w:val="xcontentpasted0"/>
          <w:rFonts w:ascii="Cambria" w:hAnsi="Cambria"/>
          <w:i/>
          <w:iCs/>
          <w:color w:val="000000"/>
          <w:sz w:val="20"/>
          <w:szCs w:val="20"/>
          <w:bdr w:val="none" w:sz="0" w:space="0" w:color="auto" w:frame="1"/>
        </w:rPr>
        <w:t>Independent Review of Expungement of Historical Offences Act 2017</w:t>
      </w:r>
      <w:r w:rsidR="00390C6C" w:rsidRPr="006669C8">
        <w:rPr>
          <w:rStyle w:val="xcontentpasted0"/>
          <w:rFonts w:ascii="Cambria" w:hAnsi="Cambria"/>
          <w:color w:val="000000"/>
          <w:sz w:val="20"/>
          <w:szCs w:val="20"/>
          <w:bdr w:val="none" w:sz="0" w:space="0" w:color="auto" w:frame="1"/>
        </w:rPr>
        <w:t> (October 2020)</w:t>
      </w:r>
      <w:r w:rsidR="00390C6C">
        <w:rPr>
          <w:rStyle w:val="xcontentpasted0"/>
          <w:rFonts w:ascii="Cambria" w:hAnsi="Cambria"/>
          <w:color w:val="000000"/>
          <w:sz w:val="20"/>
          <w:szCs w:val="20"/>
          <w:bdr w:val="none" w:sz="0" w:space="0" w:color="auto" w:frame="1"/>
        </w:rPr>
        <w:t xml:space="preserve"> at 57</w:t>
      </w:r>
      <w:r w:rsidRPr="00C82063">
        <w:rPr>
          <w:rStyle w:val="xcontentpasted0"/>
          <w:rFonts w:ascii="Cambria" w:hAnsi="Cambria"/>
          <w:color w:val="000000"/>
          <w:sz w:val="20"/>
          <w:szCs w:val="20"/>
          <w:bdr w:val="none" w:sz="0" w:space="0" w:color="auto" w:frame="1"/>
        </w:rPr>
        <w:t xml:space="preserve">. </w:t>
      </w:r>
    </w:p>
  </w:footnote>
  <w:footnote w:id="4">
    <w:p w:rsidR="006669C8" w:rsidRPr="00C82063" w:rsidRDefault="006669C8" w:rsidP="006669C8">
      <w:pPr>
        <w:pStyle w:val="FootnoteText"/>
        <w:rPr>
          <w:rFonts w:ascii="Cambria" w:hAnsi="Cambria"/>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Anti-Discrimination Commissioner Tasmania, </w:t>
      </w:r>
      <w:r w:rsidRPr="00C82063">
        <w:rPr>
          <w:rFonts w:ascii="Cambria" w:hAnsi="Cambria"/>
          <w:i/>
          <w:iCs/>
          <w:sz w:val="20"/>
          <w:szCs w:val="20"/>
        </w:rPr>
        <w:t>Treatment of historic criminal records for consensual homosexual sexual activity and related conduct</w:t>
      </w:r>
      <w:r w:rsidRPr="00C82063">
        <w:rPr>
          <w:rFonts w:ascii="Cambria" w:hAnsi="Cambria"/>
          <w:sz w:val="20"/>
          <w:szCs w:val="20"/>
        </w:rPr>
        <w:t xml:space="preserve"> (April 2015) at 2. </w:t>
      </w:r>
    </w:p>
  </w:footnote>
  <w:footnote w:id="5">
    <w:p w:rsidR="006669C8" w:rsidRPr="00C82063" w:rsidRDefault="006669C8" w:rsidP="006669C8">
      <w:pPr>
        <w:pStyle w:val="xmsonormal"/>
        <w:shd w:val="clear" w:color="auto" w:fill="FFFFFF"/>
        <w:spacing w:before="0" w:beforeAutospacing="0" w:after="0" w:afterAutospacing="0"/>
        <w:rPr>
          <w:rFonts w:ascii="Cambria" w:hAnsi="Cambria"/>
          <w:color w:val="000000"/>
          <w:sz w:val="20"/>
          <w:szCs w:val="20"/>
        </w:rPr>
      </w:pPr>
      <w:r w:rsidRPr="00C82063">
        <w:rPr>
          <w:rStyle w:val="FootnoteReference"/>
          <w:rFonts w:ascii="Cambria" w:hAnsi="Cambria"/>
          <w:sz w:val="20"/>
          <w:szCs w:val="20"/>
        </w:rPr>
        <w:footnoteRef/>
      </w:r>
      <w:r w:rsidRPr="00C82063">
        <w:rPr>
          <w:rFonts w:ascii="Cambria" w:hAnsi="Cambria"/>
          <w:sz w:val="20"/>
          <w:szCs w:val="20"/>
        </w:rPr>
        <w:t xml:space="preserve"> </w:t>
      </w:r>
      <w:r w:rsidRPr="00C82063">
        <w:rPr>
          <w:rFonts w:ascii="Cambria" w:hAnsi="Cambria"/>
          <w:color w:val="000000"/>
          <w:sz w:val="20"/>
          <w:szCs w:val="20"/>
        </w:rPr>
        <w:t>The International Commission of Jurists and the International Service for Human Rights,</w:t>
      </w:r>
      <w:r w:rsidRPr="00C82063">
        <w:rPr>
          <w:rFonts w:ascii="Cambria" w:hAnsi="Cambria"/>
          <w:i/>
          <w:sz w:val="20"/>
          <w:szCs w:val="20"/>
        </w:rPr>
        <w:t xml:space="preserve"> Yogyakarta Principles</w:t>
      </w:r>
      <w:r w:rsidRPr="00C82063">
        <w:rPr>
          <w:rFonts w:ascii="Cambria" w:hAnsi="Cambria"/>
          <w:sz w:val="20"/>
          <w:szCs w:val="20"/>
        </w:rPr>
        <w:t xml:space="preserve"> </w:t>
      </w:r>
      <w:r w:rsidRPr="00C82063">
        <w:rPr>
          <w:rFonts w:ascii="Cambria" w:hAnsi="Cambria"/>
          <w:i/>
          <w:sz w:val="20"/>
          <w:szCs w:val="20"/>
        </w:rPr>
        <w:t>on the application of international human rights law in relation to sexual orientation and gender identity</w:t>
      </w:r>
      <w:r w:rsidRPr="00C82063">
        <w:rPr>
          <w:rFonts w:ascii="Cambria" w:hAnsi="Cambria"/>
          <w:sz w:val="20"/>
          <w:szCs w:val="20"/>
        </w:rPr>
        <w:t xml:space="preserve"> (2006)</w:t>
      </w:r>
      <w:r w:rsidRPr="00C82063">
        <w:rPr>
          <w:rFonts w:ascii="Cambria" w:hAnsi="Cambria"/>
          <w:i/>
          <w:sz w:val="20"/>
          <w:szCs w:val="20"/>
        </w:rPr>
        <w:t xml:space="preserve">. </w:t>
      </w:r>
      <w:r w:rsidRPr="00C82063">
        <w:rPr>
          <w:rFonts w:ascii="Cambria" w:hAnsi="Cambria"/>
          <w:sz w:val="20"/>
          <w:szCs w:val="20"/>
        </w:rPr>
        <w:t xml:space="preserve">As found at </w:t>
      </w:r>
      <w:hyperlink r:id="rId1" w:history="1">
        <w:r w:rsidRPr="00C82063">
          <w:rPr>
            <w:rStyle w:val="Hyperlink"/>
            <w:rFonts w:ascii="Cambria" w:hAnsi="Cambria"/>
            <w:sz w:val="20"/>
            <w:szCs w:val="20"/>
          </w:rPr>
          <w:t>http://yogyakartaprinciples.org/wp-content/uploads/2016/08/principles_en.pdf</w:t>
        </w:r>
      </w:hyperlink>
      <w:r w:rsidRPr="00C82063">
        <w:rPr>
          <w:rFonts w:ascii="Cambria" w:hAnsi="Cambria"/>
          <w:sz w:val="20"/>
          <w:szCs w:val="20"/>
        </w:rPr>
        <w:t xml:space="preserve"> (</w:t>
      </w:r>
      <w:r>
        <w:rPr>
          <w:rFonts w:ascii="Cambria" w:hAnsi="Cambria"/>
          <w:sz w:val="20"/>
          <w:szCs w:val="20"/>
        </w:rPr>
        <w:t>a</w:t>
      </w:r>
      <w:r w:rsidRPr="00C82063">
        <w:rPr>
          <w:rFonts w:ascii="Cambria" w:hAnsi="Cambria"/>
          <w:sz w:val="20"/>
          <w:szCs w:val="20"/>
        </w:rPr>
        <w:t xml:space="preserve">ccessed </w:t>
      </w:r>
      <w:r>
        <w:rPr>
          <w:rFonts w:ascii="Cambria" w:hAnsi="Cambria"/>
          <w:sz w:val="20"/>
          <w:szCs w:val="20"/>
        </w:rPr>
        <w:t>2</w:t>
      </w:r>
      <w:r w:rsidR="00B83918">
        <w:rPr>
          <w:rFonts w:ascii="Cambria" w:hAnsi="Cambria"/>
          <w:sz w:val="20"/>
          <w:szCs w:val="20"/>
        </w:rPr>
        <w:t>4 January</w:t>
      </w:r>
      <w:r>
        <w:rPr>
          <w:rFonts w:ascii="Cambria" w:hAnsi="Cambria"/>
          <w:sz w:val="20"/>
          <w:szCs w:val="20"/>
        </w:rPr>
        <w:t xml:space="preserve"> 202</w:t>
      </w:r>
      <w:r w:rsidR="00B83918">
        <w:rPr>
          <w:rFonts w:ascii="Cambria" w:hAnsi="Cambria"/>
          <w:sz w:val="20"/>
          <w:szCs w:val="20"/>
        </w:rPr>
        <w:t>5</w:t>
      </w:r>
      <w:r w:rsidRPr="00C82063">
        <w:rPr>
          <w:rFonts w:ascii="Cambria" w:hAnsi="Cambria"/>
          <w:sz w:val="20"/>
          <w:szCs w:val="20"/>
        </w:rPr>
        <w:t>).</w:t>
      </w:r>
      <w:r w:rsidRPr="00C82063">
        <w:rPr>
          <w:rFonts w:ascii="Cambria" w:hAnsi="Cambria"/>
          <w:i/>
          <w:sz w:val="20"/>
          <w:szCs w:val="20"/>
        </w:rPr>
        <w:t xml:space="preserve">  </w:t>
      </w:r>
      <w:r w:rsidRPr="00C82063">
        <w:rPr>
          <w:rFonts w:ascii="Cambria" w:hAnsi="Cambria"/>
          <w:sz w:val="20"/>
          <w:szCs w:val="20"/>
        </w:rPr>
        <w:t xml:space="preserve"> </w:t>
      </w:r>
    </w:p>
  </w:footnote>
  <w:footnote w:id="6">
    <w:p w:rsidR="00124175" w:rsidRPr="006708B3" w:rsidRDefault="00124175">
      <w:pPr>
        <w:pStyle w:val="FootnoteText"/>
        <w:rPr>
          <w:rFonts w:ascii="Cambria" w:hAnsi="Cambria"/>
          <w:sz w:val="20"/>
          <w:szCs w:val="20"/>
        </w:rPr>
      </w:pPr>
      <w:r w:rsidRPr="006708B3">
        <w:rPr>
          <w:rStyle w:val="FootnoteReference"/>
          <w:rFonts w:ascii="Cambria" w:hAnsi="Cambria"/>
          <w:sz w:val="20"/>
          <w:szCs w:val="20"/>
        </w:rPr>
        <w:footnoteRef/>
      </w:r>
      <w:r w:rsidRPr="006708B3">
        <w:rPr>
          <w:rFonts w:ascii="Cambria" w:hAnsi="Cambria"/>
          <w:sz w:val="20"/>
          <w:szCs w:val="20"/>
        </w:rPr>
        <w:t xml:space="preserve"> Tasmanian Government, Submission to the </w:t>
      </w:r>
      <w:r w:rsidRPr="006708B3">
        <w:rPr>
          <w:rStyle w:val="xcontentpasted0"/>
          <w:rFonts w:ascii="Cambria" w:hAnsi="Cambria"/>
          <w:i/>
          <w:iCs/>
          <w:color w:val="000000" w:themeColor="text1"/>
          <w:sz w:val="20"/>
          <w:szCs w:val="20"/>
          <w:bdr w:val="none" w:sz="0" w:space="0" w:color="auto" w:frame="1"/>
        </w:rPr>
        <w:t>Royal Commission into Institutional Responses to Child Sexual Abuse</w:t>
      </w:r>
      <w:r w:rsidRPr="006708B3">
        <w:rPr>
          <w:rStyle w:val="xcontentpasted0"/>
          <w:rFonts w:ascii="Cambria" w:hAnsi="Cambria"/>
          <w:i/>
          <w:iCs/>
          <w:color w:val="000000" w:themeColor="text1"/>
          <w:sz w:val="20"/>
          <w:szCs w:val="20"/>
          <w:bdr w:val="none" w:sz="0" w:space="0" w:color="auto" w:frame="1"/>
        </w:rPr>
        <w:t xml:space="preserve"> – Issues paper 6 – Redress Schemes  </w:t>
      </w:r>
      <w:r w:rsidRPr="006708B3">
        <w:rPr>
          <w:rFonts w:ascii="Cambria" w:hAnsi="Cambria"/>
          <w:sz w:val="20"/>
          <w:szCs w:val="20"/>
        </w:rPr>
        <w:t xml:space="preserve"> </w:t>
      </w:r>
      <w:r w:rsidR="00AD21DA" w:rsidRPr="006708B3">
        <w:rPr>
          <w:rFonts w:ascii="Cambria" w:hAnsi="Cambria"/>
          <w:sz w:val="20"/>
          <w:szCs w:val="20"/>
        </w:rPr>
        <w:t xml:space="preserve">(Submission No. 47). As found at </w:t>
      </w:r>
      <w:hyperlink r:id="rId2" w:history="1">
        <w:r w:rsidR="00AD21DA" w:rsidRPr="006708B3">
          <w:rPr>
            <w:rStyle w:val="Hyperlink"/>
            <w:rFonts w:ascii="Cambria" w:hAnsi="Cambria"/>
            <w:sz w:val="20"/>
            <w:szCs w:val="20"/>
          </w:rPr>
          <w:t>https://www.childabuseroyalcommission.gov.au/issues-papers</w:t>
        </w:r>
      </w:hyperlink>
      <w:r w:rsidR="00AD21DA" w:rsidRPr="006708B3">
        <w:rPr>
          <w:rFonts w:ascii="Cambria" w:hAnsi="Cambria"/>
          <w:sz w:val="20"/>
          <w:szCs w:val="20"/>
        </w:rPr>
        <w:t xml:space="preserve"> (accessed 24 January 2025). </w:t>
      </w:r>
    </w:p>
  </w:footnote>
  <w:footnote w:id="7">
    <w:p w:rsidR="00587598" w:rsidRDefault="00587598">
      <w:pPr>
        <w:pStyle w:val="FootnoteText"/>
      </w:pPr>
      <w:r>
        <w:rPr>
          <w:rStyle w:val="FootnoteReference"/>
        </w:rPr>
        <w:footnoteRef/>
      </w:r>
      <w:r>
        <w:t xml:space="preserve"> </w:t>
      </w:r>
      <w:r w:rsidRPr="006669C8">
        <w:rPr>
          <w:rFonts w:ascii="Cambria" w:hAnsi="Cambria"/>
          <w:color w:val="000000" w:themeColor="text1"/>
          <w:sz w:val="20"/>
          <w:szCs w:val="20"/>
        </w:rPr>
        <w:t xml:space="preserve">Tasmania, </w:t>
      </w:r>
      <w:r w:rsidRPr="006669C8">
        <w:rPr>
          <w:rFonts w:ascii="Cambria" w:hAnsi="Cambria"/>
          <w:i/>
          <w:iCs/>
          <w:color w:val="000000" w:themeColor="text1"/>
          <w:sz w:val="20"/>
          <w:szCs w:val="20"/>
        </w:rPr>
        <w:t>Parliamentary Debates</w:t>
      </w:r>
      <w:r w:rsidRPr="006669C8">
        <w:rPr>
          <w:rFonts w:ascii="Cambria" w:hAnsi="Cambria"/>
          <w:color w:val="000000" w:themeColor="text1"/>
          <w:sz w:val="20"/>
          <w:szCs w:val="20"/>
        </w:rPr>
        <w:t xml:space="preserve">, House of Assembly, </w:t>
      </w:r>
      <w:r>
        <w:rPr>
          <w:rFonts w:ascii="Cambria" w:hAnsi="Cambria"/>
          <w:color w:val="000000" w:themeColor="text1"/>
          <w:sz w:val="20"/>
          <w:szCs w:val="20"/>
        </w:rPr>
        <w:t>28 August</w:t>
      </w:r>
      <w:r w:rsidRPr="006669C8">
        <w:rPr>
          <w:rFonts w:ascii="Cambria" w:hAnsi="Cambria"/>
          <w:color w:val="000000" w:themeColor="text1"/>
          <w:sz w:val="20"/>
          <w:szCs w:val="20"/>
        </w:rPr>
        <w:t xml:space="preserve"> 20</w:t>
      </w:r>
      <w:r>
        <w:rPr>
          <w:rFonts w:ascii="Cambria" w:hAnsi="Cambria"/>
          <w:color w:val="000000" w:themeColor="text1"/>
          <w:sz w:val="20"/>
          <w:szCs w:val="20"/>
        </w:rPr>
        <w:t>03</w:t>
      </w:r>
      <w:r w:rsidRPr="006669C8">
        <w:rPr>
          <w:rFonts w:ascii="Cambria" w:hAnsi="Cambria"/>
          <w:color w:val="000000" w:themeColor="text1"/>
          <w:sz w:val="20"/>
          <w:szCs w:val="20"/>
        </w:rPr>
        <w:t xml:space="preserve"> at </w:t>
      </w:r>
      <w:r>
        <w:rPr>
          <w:rFonts w:ascii="Cambria" w:hAnsi="Cambria"/>
          <w:color w:val="000000" w:themeColor="text1"/>
          <w:sz w:val="20"/>
          <w:szCs w:val="20"/>
        </w:rPr>
        <w:t>19</w:t>
      </w:r>
      <w:r w:rsidRPr="006669C8">
        <w:rPr>
          <w:rFonts w:ascii="Cambria" w:hAnsi="Cambria"/>
          <w:color w:val="000000" w:themeColor="text1"/>
          <w:sz w:val="20"/>
          <w:szCs w:val="20"/>
        </w:rPr>
        <w:t>.</w:t>
      </w:r>
      <w:r>
        <w:rPr>
          <w:rFonts w:ascii="Cambria" w:hAnsi="Cambria"/>
          <w:color w:val="000000" w:themeColor="text1"/>
          <w:sz w:val="20"/>
          <w:szCs w:val="20"/>
        </w:rPr>
        <w:t xml:space="preserve"> </w:t>
      </w:r>
    </w:p>
  </w:footnote>
  <w:footnote w:id="8">
    <w:p w:rsidR="00B16EF1" w:rsidRDefault="00B16EF1">
      <w:pPr>
        <w:pStyle w:val="FootnoteText"/>
      </w:pPr>
      <w:r>
        <w:rPr>
          <w:rStyle w:val="FootnoteReference"/>
        </w:rPr>
        <w:footnoteRef/>
      </w:r>
      <w:r>
        <w:t xml:space="preserve"> </w:t>
      </w:r>
      <w:r>
        <w:rPr>
          <w:rFonts w:ascii="Cambria" w:hAnsi="Cambria"/>
          <w:color w:val="000000" w:themeColor="text1"/>
          <w:sz w:val="20"/>
          <w:szCs w:val="20"/>
        </w:rPr>
        <w:t>Ibid</w:t>
      </w:r>
      <w:r w:rsidRPr="006669C8">
        <w:rPr>
          <w:rFonts w:ascii="Cambria" w:hAnsi="Cambria"/>
          <w:color w:val="000000" w:themeColor="text1"/>
          <w:sz w:val="20"/>
          <w:szCs w:val="20"/>
        </w:rPr>
        <w:t>.</w:t>
      </w:r>
    </w:p>
  </w:footnote>
  <w:footnote w:id="9">
    <w:p w:rsidR="006708B3" w:rsidRPr="006708B3" w:rsidRDefault="006708B3">
      <w:pPr>
        <w:pStyle w:val="FootnoteText"/>
        <w:rPr>
          <w:rFonts w:ascii="Cambria" w:hAnsi="Cambria"/>
          <w:sz w:val="20"/>
          <w:szCs w:val="20"/>
        </w:rPr>
      </w:pPr>
      <w:r w:rsidRPr="006708B3">
        <w:rPr>
          <w:rStyle w:val="FootnoteReference"/>
          <w:rFonts w:ascii="Cambria" w:hAnsi="Cambria"/>
          <w:sz w:val="20"/>
          <w:szCs w:val="20"/>
        </w:rPr>
        <w:footnoteRef/>
      </w:r>
      <w:r w:rsidRPr="006708B3">
        <w:rPr>
          <w:rFonts w:ascii="Cambria" w:hAnsi="Cambria"/>
          <w:sz w:val="20"/>
          <w:szCs w:val="20"/>
        </w:rPr>
        <w:t xml:space="preserve">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C3672"/>
    <w:multiLevelType w:val="hybridMultilevel"/>
    <w:tmpl w:val="16D685A6"/>
    <w:lvl w:ilvl="0" w:tplc="C54210BA">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5C340149"/>
    <w:multiLevelType w:val="hybridMultilevel"/>
    <w:tmpl w:val="C1A2E2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D96C68"/>
    <w:multiLevelType w:val="hybridMultilevel"/>
    <w:tmpl w:val="F5E017D8"/>
    <w:lvl w:ilvl="0" w:tplc="6706BFF0">
      <w:start w:val="50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F07DF"/>
    <w:multiLevelType w:val="hybridMultilevel"/>
    <w:tmpl w:val="E264CB42"/>
    <w:lvl w:ilvl="0" w:tplc="FB463D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6F95646A"/>
    <w:multiLevelType w:val="hybridMultilevel"/>
    <w:tmpl w:val="409635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643422">
    <w:abstractNumId w:val="2"/>
  </w:num>
  <w:num w:numId="2" w16cid:durableId="1428581775">
    <w:abstractNumId w:val="1"/>
  </w:num>
  <w:num w:numId="3" w16cid:durableId="1847665733">
    <w:abstractNumId w:val="4"/>
  </w:num>
  <w:num w:numId="4" w16cid:durableId="1305886535">
    <w:abstractNumId w:val="0"/>
  </w:num>
  <w:num w:numId="5" w16cid:durableId="1405451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61"/>
    <w:rsid w:val="00024572"/>
    <w:rsid w:val="00056028"/>
    <w:rsid w:val="00057161"/>
    <w:rsid w:val="000A5ED7"/>
    <w:rsid w:val="000C4FEA"/>
    <w:rsid w:val="000E4CF0"/>
    <w:rsid w:val="00124175"/>
    <w:rsid w:val="001535A0"/>
    <w:rsid w:val="001D7741"/>
    <w:rsid w:val="00215FCE"/>
    <w:rsid w:val="00245C6B"/>
    <w:rsid w:val="0025439E"/>
    <w:rsid w:val="003314C8"/>
    <w:rsid w:val="003660C2"/>
    <w:rsid w:val="00390C6C"/>
    <w:rsid w:val="003E590E"/>
    <w:rsid w:val="0045230A"/>
    <w:rsid w:val="00587598"/>
    <w:rsid w:val="005B6723"/>
    <w:rsid w:val="005D3001"/>
    <w:rsid w:val="00651C83"/>
    <w:rsid w:val="00652B3A"/>
    <w:rsid w:val="006669C8"/>
    <w:rsid w:val="006708B3"/>
    <w:rsid w:val="0075128A"/>
    <w:rsid w:val="0076469F"/>
    <w:rsid w:val="00775462"/>
    <w:rsid w:val="00806B73"/>
    <w:rsid w:val="008B69E1"/>
    <w:rsid w:val="00956695"/>
    <w:rsid w:val="00A01D54"/>
    <w:rsid w:val="00A1633C"/>
    <w:rsid w:val="00A45AB4"/>
    <w:rsid w:val="00AD21DA"/>
    <w:rsid w:val="00B16EF1"/>
    <w:rsid w:val="00B649C9"/>
    <w:rsid w:val="00B83918"/>
    <w:rsid w:val="00BB765A"/>
    <w:rsid w:val="00BC0E20"/>
    <w:rsid w:val="00BC73CF"/>
    <w:rsid w:val="00C83509"/>
    <w:rsid w:val="00D65E91"/>
    <w:rsid w:val="00DB1ECF"/>
    <w:rsid w:val="00DF4B8F"/>
    <w:rsid w:val="00E37FDD"/>
    <w:rsid w:val="00FD6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1087D95"/>
  <w15:chartTrackingRefBased/>
  <w15:docId w15:val="{0D1C2F4D-A843-FA4A-A096-0D198B19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161"/>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057161"/>
    <w:rPr>
      <w:rFonts w:ascii="Times New Roman" w:eastAsia="Times New Roman" w:hAnsi="Times New Roman" w:cs="Times New Roman"/>
      <w:kern w:val="0"/>
      <w:lang w:eastAsia="en-GB"/>
      <w14:ligatures w14:val="none"/>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057161"/>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057161"/>
    <w:rPr>
      <w:vertAlign w:val="superscript"/>
    </w:rPr>
  </w:style>
  <w:style w:type="paragraph" w:customStyle="1" w:styleId="xmsonormal">
    <w:name w:val="x_msonormal"/>
    <w:basedOn w:val="Normal"/>
    <w:rsid w:val="000571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57161"/>
    <w:rPr>
      <w:color w:val="605E5C"/>
      <w:shd w:val="clear" w:color="auto" w:fill="E1DFDD"/>
    </w:rPr>
  </w:style>
  <w:style w:type="character" w:customStyle="1" w:styleId="xcontentpasted0">
    <w:name w:val="x_contentpasted0"/>
    <w:basedOn w:val="DefaultParagraphFont"/>
    <w:rsid w:val="00DF4B8F"/>
  </w:style>
  <w:style w:type="paragraph" w:styleId="ListParagraph">
    <w:name w:val="List Paragraph"/>
    <w:basedOn w:val="Normal"/>
    <w:uiPriority w:val="34"/>
    <w:qFormat/>
    <w:rsid w:val="00DF4B8F"/>
    <w:pPr>
      <w:ind w:left="720"/>
      <w:contextualSpacing/>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DF4B8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DF4B8F"/>
    <w:rPr>
      <w:rFonts w:ascii="Times New Roman" w:eastAsia="Times New Roman" w:hAnsi="Times New Roman" w:cs="Times New Roman"/>
      <w:kern w:val="0"/>
      <w:lang w:eastAsia="en-GB"/>
      <w14:ligatures w14:val="none"/>
    </w:rPr>
  </w:style>
  <w:style w:type="paragraph" w:customStyle="1" w:styleId="Style2">
    <w:name w:val="Style 2"/>
    <w:qFormat/>
    <w:rsid w:val="003E590E"/>
    <w:pPr>
      <w:ind w:left="851" w:right="851"/>
      <w:jc w:val="both"/>
    </w:pPr>
    <w:rPr>
      <w:rFonts w:ascii="Times New Roman" w:eastAsia="Times New Roman" w:hAnsi="Times New Roman" w:cs="Arial"/>
      <w:kern w:val="0"/>
      <w:szCs w:val="28"/>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derandequality@parliament.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ildabuseroyalcommission.gov.au/issues-papers" TargetMode="External"/><Relationship Id="rId1" Type="http://schemas.openxmlformats.org/officeDocument/2006/relationships/hyperlink" Target="http://yogyakartaprinciples.org/wp-content/uploads/2016/08/principl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2025-01-23T21:42:00Z</dcterms:created>
  <dcterms:modified xsi:type="dcterms:W3CDTF">2025-01-24T04:17:00Z</dcterms:modified>
</cp:coreProperties>
</file>