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D4C" w:rsidRPr="00404F7A" w:rsidRDefault="00F65D4C" w:rsidP="00F65D4C">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275BC529" wp14:editId="06A77E47">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F65D4C" w:rsidRPr="00F1588D" w:rsidRDefault="00F65D4C" w:rsidP="00F65D4C">
      <w:pPr>
        <w:ind w:right="-205"/>
        <w:jc w:val="both"/>
        <w:rPr>
          <w:rFonts w:ascii="Cambria" w:hAnsi="Cambria"/>
          <w:color w:val="000000" w:themeColor="text1"/>
        </w:rPr>
      </w:pPr>
    </w:p>
    <w:p w:rsidR="00F65D4C" w:rsidRPr="00F1588D" w:rsidRDefault="00F65D4C" w:rsidP="00F65D4C">
      <w:pPr>
        <w:ind w:right="-205"/>
        <w:jc w:val="both"/>
        <w:rPr>
          <w:rFonts w:ascii="Cambria" w:hAnsi="Cambria"/>
          <w:color w:val="000000" w:themeColor="text1"/>
        </w:rPr>
      </w:pPr>
    </w:p>
    <w:p w:rsidR="00F65D4C" w:rsidRPr="00F1588D" w:rsidRDefault="00F65D4C" w:rsidP="00F65D4C">
      <w:pPr>
        <w:ind w:right="-205"/>
        <w:jc w:val="both"/>
        <w:rPr>
          <w:rFonts w:ascii="Cambria" w:hAnsi="Cambria"/>
          <w:color w:val="000000" w:themeColor="text1"/>
        </w:rPr>
      </w:pPr>
      <w:r w:rsidRPr="00F1588D">
        <w:rPr>
          <w:rFonts w:ascii="Cambria" w:hAnsi="Cambria"/>
          <w:color w:val="000000" w:themeColor="text1"/>
        </w:rPr>
        <w:t>3 February 2025</w:t>
      </w:r>
    </w:p>
    <w:p w:rsidR="00F65D4C" w:rsidRPr="00F1588D" w:rsidRDefault="00F65D4C" w:rsidP="00F65D4C">
      <w:pPr>
        <w:ind w:right="-347"/>
        <w:rPr>
          <w:rFonts w:ascii="Cambria" w:hAnsi="Cambria"/>
          <w:color w:val="000000" w:themeColor="text1"/>
        </w:rPr>
      </w:pPr>
    </w:p>
    <w:p w:rsidR="00F65D4C" w:rsidRPr="00F1588D" w:rsidRDefault="00F65D4C" w:rsidP="00F65D4C">
      <w:pPr>
        <w:ind w:right="-347"/>
        <w:rPr>
          <w:rFonts w:ascii="Cambria" w:hAnsi="Cambria"/>
          <w:color w:val="000000" w:themeColor="text1"/>
        </w:rPr>
      </w:pPr>
      <w:r w:rsidRPr="00F1588D">
        <w:rPr>
          <w:rFonts w:ascii="Cambria" w:hAnsi="Cambria"/>
          <w:color w:val="000000" w:themeColor="text1"/>
        </w:rPr>
        <w:t>Department of Justice</w:t>
      </w:r>
    </w:p>
    <w:p w:rsidR="00F65D4C" w:rsidRPr="00F1588D" w:rsidRDefault="00F65D4C" w:rsidP="00F65D4C">
      <w:pPr>
        <w:ind w:right="-347"/>
        <w:rPr>
          <w:rFonts w:ascii="Cambria" w:hAnsi="Cambria"/>
          <w:color w:val="000000" w:themeColor="text1"/>
        </w:rPr>
      </w:pPr>
      <w:r w:rsidRPr="00F1588D">
        <w:rPr>
          <w:rFonts w:ascii="Cambria" w:hAnsi="Cambria"/>
          <w:color w:val="000000" w:themeColor="text1"/>
        </w:rPr>
        <w:t>Office of the Secretary</w:t>
      </w:r>
    </w:p>
    <w:p w:rsidR="00F65D4C" w:rsidRPr="00F1588D" w:rsidRDefault="00F65D4C" w:rsidP="00F65D4C">
      <w:pPr>
        <w:ind w:right="-347"/>
        <w:rPr>
          <w:rFonts w:ascii="Cambria" w:hAnsi="Cambria"/>
          <w:color w:val="000000" w:themeColor="text1"/>
        </w:rPr>
      </w:pPr>
      <w:r w:rsidRPr="00F1588D">
        <w:rPr>
          <w:rFonts w:ascii="Cambria" w:hAnsi="Cambria"/>
          <w:color w:val="000000" w:themeColor="text1"/>
        </w:rPr>
        <w:t>GPO Box 825</w:t>
      </w:r>
    </w:p>
    <w:p w:rsidR="00F65D4C" w:rsidRPr="00F1588D" w:rsidRDefault="00F65D4C" w:rsidP="00F65D4C">
      <w:pPr>
        <w:ind w:right="-347"/>
        <w:rPr>
          <w:rFonts w:ascii="Cambria" w:hAnsi="Cambria"/>
          <w:color w:val="000000" w:themeColor="text1"/>
        </w:rPr>
      </w:pPr>
      <w:r w:rsidRPr="00F1588D">
        <w:rPr>
          <w:rFonts w:ascii="Cambria" w:hAnsi="Cambria"/>
          <w:color w:val="000000" w:themeColor="text1"/>
        </w:rPr>
        <w:t>Hobart TAS 7001</w:t>
      </w:r>
      <w:r w:rsidRPr="00F1588D">
        <w:rPr>
          <w:rFonts w:ascii="Cambria" w:hAnsi="Cambria"/>
          <w:color w:val="000000" w:themeColor="text1"/>
        </w:rPr>
        <w:tab/>
      </w:r>
      <w:r w:rsidRPr="00F1588D">
        <w:rPr>
          <w:rFonts w:ascii="Cambria" w:hAnsi="Cambria"/>
          <w:color w:val="000000" w:themeColor="text1"/>
        </w:rPr>
        <w:tab/>
      </w:r>
      <w:r w:rsidRPr="00F1588D">
        <w:rPr>
          <w:rFonts w:ascii="Cambria" w:hAnsi="Cambria"/>
          <w:color w:val="000000" w:themeColor="text1"/>
        </w:rPr>
        <w:tab/>
      </w:r>
    </w:p>
    <w:p w:rsidR="00F65D4C" w:rsidRPr="00F1588D" w:rsidRDefault="00F65D4C" w:rsidP="00F65D4C">
      <w:pPr>
        <w:ind w:left="3600" w:right="-347" w:firstLine="720"/>
        <w:rPr>
          <w:rFonts w:ascii="Cambria" w:hAnsi="Cambria"/>
          <w:color w:val="000000" w:themeColor="text1"/>
        </w:rPr>
      </w:pPr>
      <w:r w:rsidRPr="00F1588D">
        <w:rPr>
          <w:rFonts w:ascii="Cambria" w:hAnsi="Cambria"/>
          <w:i/>
          <w:iCs/>
          <w:color w:val="000000" w:themeColor="text1"/>
        </w:rPr>
        <w:t xml:space="preserve">via email: </w:t>
      </w:r>
      <w:hyperlink r:id="rId8" w:history="1">
        <w:r w:rsidRPr="00F1588D">
          <w:rPr>
            <w:rStyle w:val="Hyperlink"/>
            <w:rFonts w:ascii="Cambria" w:eastAsiaTheme="majorEastAsia" w:hAnsi="Cambria"/>
            <w:i/>
            <w:iCs/>
          </w:rPr>
          <w:t>haveyoursay@justice.tas.gov.au</w:t>
        </w:r>
      </w:hyperlink>
    </w:p>
    <w:p w:rsidR="00F65D4C" w:rsidRPr="00F1588D" w:rsidRDefault="00F65D4C" w:rsidP="00F65D4C">
      <w:pPr>
        <w:ind w:right="-347"/>
        <w:rPr>
          <w:rFonts w:ascii="Cambria" w:hAnsi="Cambria"/>
          <w:color w:val="000000" w:themeColor="text1"/>
        </w:rPr>
      </w:pPr>
    </w:p>
    <w:p w:rsidR="00F65D4C" w:rsidRPr="00F1588D" w:rsidRDefault="00F65D4C" w:rsidP="00F65D4C">
      <w:pPr>
        <w:ind w:right="-347"/>
        <w:rPr>
          <w:rFonts w:ascii="Cambria" w:hAnsi="Cambria"/>
          <w:color w:val="000000" w:themeColor="text1"/>
        </w:rPr>
      </w:pPr>
      <w:r w:rsidRPr="00F1588D">
        <w:rPr>
          <w:rFonts w:ascii="Cambria" w:hAnsi="Cambria"/>
          <w:color w:val="000000" w:themeColor="text1"/>
        </w:rPr>
        <w:t>To the Department of Justice,  </w:t>
      </w:r>
    </w:p>
    <w:p w:rsidR="00F65D4C" w:rsidRPr="00F1588D" w:rsidRDefault="00F65D4C" w:rsidP="00F65D4C">
      <w:pPr>
        <w:pBdr>
          <w:bottom w:val="single" w:sz="6" w:space="1" w:color="auto"/>
        </w:pBdr>
        <w:jc w:val="both"/>
        <w:rPr>
          <w:rFonts w:ascii="Cambria" w:hAnsi="Cambria"/>
          <w:b/>
          <w:color w:val="000000" w:themeColor="text1"/>
        </w:rPr>
      </w:pPr>
      <w:r w:rsidRPr="00F1588D">
        <w:rPr>
          <w:rFonts w:ascii="Cambria" w:hAnsi="Cambria"/>
          <w:b/>
          <w:color w:val="000000" w:themeColor="text1"/>
        </w:rPr>
        <w:t xml:space="preserve">Re: </w:t>
      </w:r>
      <w:r w:rsidRPr="00F1588D">
        <w:rPr>
          <w:rFonts w:ascii="Cambria" w:hAnsi="Cambria"/>
          <w:b/>
          <w:bCs/>
          <w:i/>
          <w:iCs/>
          <w:color w:val="000000" w:themeColor="text1"/>
        </w:rPr>
        <w:t>Police Powers and Responsibilities Act – Proposal Paper</w:t>
      </w:r>
    </w:p>
    <w:p w:rsidR="00F65D4C" w:rsidRPr="00F1588D" w:rsidRDefault="00F65D4C" w:rsidP="00F65D4C">
      <w:pPr>
        <w:ind w:right="-64"/>
        <w:jc w:val="both"/>
        <w:rPr>
          <w:rFonts w:ascii="Cambria" w:hAnsi="Cambria"/>
          <w:color w:val="000000" w:themeColor="text1"/>
        </w:rPr>
      </w:pPr>
    </w:p>
    <w:p w:rsidR="00C814B9" w:rsidRPr="00F1588D" w:rsidRDefault="00F65D4C" w:rsidP="00C814B9">
      <w:pPr>
        <w:ind w:right="-347"/>
        <w:jc w:val="both"/>
        <w:rPr>
          <w:rFonts w:ascii="Cambria" w:hAnsi="Cambria"/>
          <w:color w:val="000000" w:themeColor="text1"/>
        </w:rPr>
      </w:pPr>
      <w:r w:rsidRPr="00F1588D">
        <w:rPr>
          <w:rFonts w:ascii="Cambria" w:hAnsi="Cambria" w:cs="Calibri"/>
          <w:color w:val="000000" w:themeColor="text1"/>
        </w:rPr>
        <w:t>Community Legal Centres Tasmania (CLC Tas)</w:t>
      </w:r>
      <w:r w:rsidRPr="00F1588D">
        <w:rPr>
          <w:rFonts w:ascii="Cambria" w:hAnsi="Cambria"/>
          <w:color w:val="000000" w:themeColor="text1"/>
        </w:rPr>
        <w:t xml:space="preserve"> welcomes the opportunity to provide comment on the consultation into the </w:t>
      </w:r>
      <w:r w:rsidRPr="00F1588D">
        <w:rPr>
          <w:rFonts w:ascii="Cambria" w:hAnsi="Cambria"/>
          <w:i/>
          <w:iCs/>
          <w:color w:val="000000" w:themeColor="text1"/>
        </w:rPr>
        <w:t xml:space="preserve">Police Powers and Responsibilities Act </w:t>
      </w:r>
      <w:r w:rsidRPr="00F1588D">
        <w:rPr>
          <w:rFonts w:ascii="Cambria" w:hAnsi="Cambria"/>
          <w:color w:val="000000" w:themeColor="text1"/>
        </w:rPr>
        <w:t xml:space="preserve">(‘the </w:t>
      </w:r>
      <w:r w:rsidR="00CF65F3" w:rsidRPr="00F1588D">
        <w:rPr>
          <w:rFonts w:ascii="Cambria" w:hAnsi="Cambria"/>
          <w:color w:val="000000" w:themeColor="text1"/>
        </w:rPr>
        <w:t>p</w:t>
      </w:r>
      <w:r w:rsidRPr="00F1588D">
        <w:rPr>
          <w:rFonts w:ascii="Cambria" w:hAnsi="Cambria"/>
          <w:color w:val="000000" w:themeColor="text1"/>
        </w:rPr>
        <w:t xml:space="preserve">roposal </w:t>
      </w:r>
      <w:r w:rsidR="00CF65F3" w:rsidRPr="00F1588D">
        <w:rPr>
          <w:rFonts w:ascii="Cambria" w:hAnsi="Cambria"/>
          <w:color w:val="000000" w:themeColor="text1"/>
        </w:rPr>
        <w:t>p</w:t>
      </w:r>
      <w:r w:rsidRPr="00F1588D">
        <w:rPr>
          <w:rFonts w:ascii="Cambria" w:hAnsi="Cambria"/>
          <w:color w:val="000000" w:themeColor="text1"/>
        </w:rPr>
        <w:t>aper’).</w:t>
      </w:r>
      <w:r w:rsidRPr="00F1588D">
        <w:rPr>
          <w:rStyle w:val="FootnoteReference"/>
          <w:rFonts w:ascii="Cambria" w:hAnsi="Cambria"/>
          <w:color w:val="000000" w:themeColor="text1"/>
        </w:rPr>
        <w:footnoteReference w:id="1"/>
      </w:r>
      <w:r w:rsidR="008F5646" w:rsidRPr="00F1588D">
        <w:rPr>
          <w:rFonts w:ascii="Cambria" w:hAnsi="Cambria"/>
          <w:color w:val="000000" w:themeColor="text1"/>
        </w:rPr>
        <w:t xml:space="preserve"> </w:t>
      </w:r>
      <w:r w:rsidR="00180930" w:rsidRPr="00F1588D">
        <w:rPr>
          <w:rFonts w:ascii="Cambria" w:hAnsi="Cambria"/>
          <w:color w:val="000000" w:themeColor="text1"/>
        </w:rPr>
        <w:t xml:space="preserve">There are around 100 statutory instruments in Tasmania with powers of arrests. However, as the Attorney-General has observed “a holistic review of the legislation governing police powers has not occurred. Instead, reforms have been </w:t>
      </w:r>
      <w:r w:rsidR="00180930" w:rsidRPr="00F1588D">
        <w:rPr>
          <w:rFonts w:ascii="Cambria" w:hAnsi="Cambria"/>
          <w:i/>
          <w:iCs/>
          <w:color w:val="000000" w:themeColor="text1"/>
        </w:rPr>
        <w:t>ad hoc</w:t>
      </w:r>
      <w:r w:rsidR="00180930" w:rsidRPr="00F1588D">
        <w:rPr>
          <w:rFonts w:ascii="Cambria" w:hAnsi="Cambria"/>
          <w:color w:val="000000" w:themeColor="text1"/>
        </w:rPr>
        <w:t>, resulting in a proliferation of powers spread across many Acts”.</w:t>
      </w:r>
      <w:r w:rsidR="00180930" w:rsidRPr="00F1588D">
        <w:rPr>
          <w:rStyle w:val="FootnoteReference"/>
          <w:rFonts w:ascii="Cambria" w:hAnsi="Cambria"/>
          <w:color w:val="000000" w:themeColor="text1"/>
        </w:rPr>
        <w:footnoteReference w:id="2"/>
      </w:r>
      <w:r w:rsidR="00180930" w:rsidRPr="00F1588D">
        <w:rPr>
          <w:rFonts w:ascii="Cambria" w:hAnsi="Cambria"/>
          <w:color w:val="000000" w:themeColor="text1"/>
        </w:rPr>
        <w:t xml:space="preserve"> </w:t>
      </w:r>
      <w:r w:rsidR="008F5646" w:rsidRPr="00F1588D">
        <w:rPr>
          <w:rFonts w:ascii="Cambria" w:hAnsi="Cambria"/>
          <w:color w:val="000000" w:themeColor="text1"/>
        </w:rPr>
        <w:t>We therefore</w:t>
      </w:r>
      <w:r w:rsidR="00901D99" w:rsidRPr="00F1588D">
        <w:rPr>
          <w:rFonts w:ascii="Cambria" w:hAnsi="Cambria"/>
          <w:color w:val="000000" w:themeColor="text1"/>
        </w:rPr>
        <w:t xml:space="preserve"> </w:t>
      </w:r>
      <w:r w:rsidR="008F5646" w:rsidRPr="00F1588D">
        <w:rPr>
          <w:rFonts w:ascii="Cambria" w:hAnsi="Cambria"/>
          <w:color w:val="000000" w:themeColor="text1"/>
        </w:rPr>
        <w:t xml:space="preserve">support the consolidation of arrest powers </w:t>
      </w:r>
      <w:r w:rsidR="004B50DA" w:rsidRPr="00F1588D">
        <w:rPr>
          <w:rFonts w:ascii="Cambria" w:hAnsi="Cambria"/>
          <w:color w:val="000000" w:themeColor="text1"/>
        </w:rPr>
        <w:t xml:space="preserve">on the basis that it </w:t>
      </w:r>
      <w:r w:rsidR="00CF65F3" w:rsidRPr="00F1588D">
        <w:rPr>
          <w:rFonts w:ascii="Cambria" w:hAnsi="Cambria"/>
          <w:color w:val="000000" w:themeColor="text1"/>
        </w:rPr>
        <w:t>will better ensure consistency in the use of police powers,</w:t>
      </w:r>
      <w:r w:rsidR="008F5646" w:rsidRPr="00F1588D">
        <w:rPr>
          <w:rFonts w:ascii="Cambria" w:hAnsi="Cambria"/>
          <w:color w:val="000000" w:themeColor="text1"/>
        </w:rPr>
        <w:t xml:space="preserve"> minimise errors and make the law more accessible.</w:t>
      </w:r>
      <w:r w:rsidR="008F5646" w:rsidRPr="00F1588D">
        <w:rPr>
          <w:rFonts w:ascii="Cambria" w:hAnsi="Cambria"/>
          <w:iCs/>
          <w:color w:val="000000" w:themeColor="text1"/>
        </w:rPr>
        <w:t xml:space="preserve"> </w:t>
      </w:r>
      <w:r w:rsidR="008F5646" w:rsidRPr="00F1588D">
        <w:rPr>
          <w:rFonts w:ascii="Cambria" w:hAnsi="Cambria"/>
          <w:color w:val="000000" w:themeColor="text1"/>
        </w:rPr>
        <w:t xml:space="preserve"> </w:t>
      </w:r>
    </w:p>
    <w:p w:rsidR="00C814B9" w:rsidRPr="00F1588D" w:rsidRDefault="00C814B9" w:rsidP="00C814B9">
      <w:pPr>
        <w:ind w:right="-347"/>
        <w:jc w:val="both"/>
        <w:rPr>
          <w:rFonts w:ascii="Cambria" w:hAnsi="Cambria"/>
          <w:color w:val="000000" w:themeColor="text1"/>
        </w:rPr>
      </w:pPr>
    </w:p>
    <w:p w:rsidR="008F5646" w:rsidRPr="00F1588D" w:rsidRDefault="008F5646" w:rsidP="00C814B9">
      <w:pPr>
        <w:ind w:right="-347"/>
        <w:jc w:val="both"/>
        <w:rPr>
          <w:rFonts w:ascii="Cambria" w:hAnsi="Cambria"/>
          <w:b/>
          <w:bCs/>
          <w:color w:val="000000" w:themeColor="text1"/>
        </w:rPr>
      </w:pPr>
      <w:r w:rsidRPr="00F1588D">
        <w:rPr>
          <w:rFonts w:ascii="Cambria" w:hAnsi="Cambria"/>
          <w:b/>
          <w:bCs/>
          <w:color w:val="000000" w:themeColor="text1"/>
        </w:rPr>
        <w:t>Background</w:t>
      </w:r>
    </w:p>
    <w:p w:rsidR="004B50DA" w:rsidRPr="00F1588D" w:rsidRDefault="00C814B9" w:rsidP="004B50DA">
      <w:pPr>
        <w:ind w:right="-347"/>
        <w:jc w:val="both"/>
        <w:rPr>
          <w:rFonts w:ascii="Cambria" w:hAnsi="Cambria"/>
          <w:color w:val="000000" w:themeColor="text1"/>
        </w:rPr>
      </w:pPr>
      <w:r w:rsidRPr="00F1588D">
        <w:rPr>
          <w:rFonts w:ascii="Cambria" w:hAnsi="Cambria"/>
          <w:color w:val="000000" w:themeColor="text1"/>
        </w:rPr>
        <w:t>In 1977 the Law Reform Commission of Tasmania published a report on the consolidation of powers of arrest, search and bail.</w:t>
      </w:r>
      <w:r w:rsidRPr="00F1588D">
        <w:rPr>
          <w:rStyle w:val="FootnoteReference"/>
          <w:rFonts w:ascii="Cambria" w:hAnsi="Cambria"/>
          <w:color w:val="000000" w:themeColor="text1"/>
        </w:rPr>
        <w:footnoteReference w:id="3"/>
      </w:r>
      <w:r w:rsidRPr="00F1588D">
        <w:rPr>
          <w:rFonts w:ascii="Cambria" w:hAnsi="Cambria"/>
          <w:color w:val="000000" w:themeColor="text1"/>
        </w:rPr>
        <w:t xml:space="preserve"> The report recommended that </w:t>
      </w:r>
      <w:r w:rsidR="008F5646" w:rsidRPr="00F1588D">
        <w:rPr>
          <w:rFonts w:ascii="Cambria" w:hAnsi="Cambria"/>
          <w:color w:val="000000" w:themeColor="text1"/>
        </w:rPr>
        <w:t>powers of</w:t>
      </w:r>
      <w:r w:rsidRPr="00F1588D">
        <w:rPr>
          <w:rFonts w:ascii="Cambria" w:hAnsi="Cambria"/>
          <w:color w:val="000000" w:themeColor="text1"/>
        </w:rPr>
        <w:t xml:space="preserve"> arrest be codified in a new statute. More than thirty years later</w:t>
      </w:r>
      <w:r w:rsidR="00CF65F3" w:rsidRPr="00F1588D">
        <w:rPr>
          <w:rFonts w:ascii="Cambria" w:hAnsi="Cambria"/>
          <w:color w:val="000000" w:themeColor="text1"/>
        </w:rPr>
        <w:t>,</w:t>
      </w:r>
      <w:r w:rsidRPr="00F1588D">
        <w:rPr>
          <w:rFonts w:ascii="Cambria" w:hAnsi="Cambria"/>
          <w:color w:val="000000" w:themeColor="text1"/>
        </w:rPr>
        <w:t xml:space="preserve"> the T</w:t>
      </w:r>
      <w:r w:rsidR="004B50DA" w:rsidRPr="00F1588D">
        <w:rPr>
          <w:rFonts w:ascii="Cambria" w:hAnsi="Cambria"/>
          <w:color w:val="000000" w:themeColor="text1"/>
        </w:rPr>
        <w:t>asmania</w:t>
      </w:r>
      <w:r w:rsidR="00A133FB" w:rsidRPr="00F1588D">
        <w:rPr>
          <w:rFonts w:ascii="Cambria" w:hAnsi="Cambria"/>
          <w:color w:val="000000" w:themeColor="text1"/>
        </w:rPr>
        <w:t xml:space="preserve"> </w:t>
      </w:r>
      <w:r w:rsidR="004B50DA" w:rsidRPr="00F1588D">
        <w:rPr>
          <w:rFonts w:ascii="Cambria" w:hAnsi="Cambria"/>
          <w:color w:val="000000" w:themeColor="text1"/>
        </w:rPr>
        <w:t>Law Reform Institute</w:t>
      </w:r>
      <w:r w:rsidRPr="00F1588D">
        <w:rPr>
          <w:rFonts w:ascii="Cambria" w:hAnsi="Cambria"/>
          <w:color w:val="000000" w:themeColor="text1"/>
        </w:rPr>
        <w:t xml:space="preserve"> </w:t>
      </w:r>
      <w:r w:rsidR="00857C56" w:rsidRPr="00F1588D">
        <w:rPr>
          <w:rFonts w:ascii="Cambria" w:hAnsi="Cambria"/>
          <w:color w:val="000000" w:themeColor="text1"/>
        </w:rPr>
        <w:t xml:space="preserve">(TLRI) </w:t>
      </w:r>
      <w:r w:rsidRPr="00F1588D">
        <w:rPr>
          <w:rFonts w:ascii="Cambria" w:hAnsi="Cambria"/>
          <w:color w:val="000000" w:themeColor="text1"/>
        </w:rPr>
        <w:t>made the same recommendation noting that in 19</w:t>
      </w:r>
      <w:r w:rsidR="008F5646" w:rsidRPr="00F1588D">
        <w:rPr>
          <w:rFonts w:ascii="Cambria" w:hAnsi="Cambria"/>
          <w:color w:val="000000" w:themeColor="text1"/>
        </w:rPr>
        <w:t>7</w:t>
      </w:r>
      <w:r w:rsidRPr="00F1588D">
        <w:rPr>
          <w:rFonts w:ascii="Cambria" w:hAnsi="Cambria"/>
          <w:color w:val="000000" w:themeColor="text1"/>
        </w:rPr>
        <w:t>7 there were only 14 Acts conferring powers of arrest without warrant in Tasmania and</w:t>
      </w:r>
      <w:r w:rsidR="008F5646" w:rsidRPr="00F1588D">
        <w:rPr>
          <w:rFonts w:ascii="Cambria" w:hAnsi="Cambria"/>
          <w:color w:val="000000" w:themeColor="text1"/>
        </w:rPr>
        <w:t xml:space="preserve"> </w:t>
      </w:r>
      <w:r w:rsidR="00857C56" w:rsidRPr="00F1588D">
        <w:rPr>
          <w:rFonts w:ascii="Cambria" w:hAnsi="Cambria"/>
          <w:color w:val="000000" w:themeColor="text1"/>
        </w:rPr>
        <w:t>in 2011</w:t>
      </w:r>
      <w:r w:rsidR="00CF65F3" w:rsidRPr="00F1588D">
        <w:rPr>
          <w:rFonts w:ascii="Cambria" w:hAnsi="Cambria"/>
          <w:color w:val="000000" w:themeColor="text1"/>
        </w:rPr>
        <w:t xml:space="preserve">, when the TLRI was undertaking its research, </w:t>
      </w:r>
      <w:r w:rsidR="008F5646" w:rsidRPr="00F1588D">
        <w:rPr>
          <w:rFonts w:ascii="Cambria" w:hAnsi="Cambria"/>
          <w:color w:val="000000" w:themeColor="text1"/>
        </w:rPr>
        <w:t>there</w:t>
      </w:r>
      <w:r w:rsidRPr="00F1588D">
        <w:rPr>
          <w:rFonts w:ascii="Cambria" w:hAnsi="Cambria"/>
          <w:color w:val="000000" w:themeColor="text1"/>
        </w:rPr>
        <w:t xml:space="preserve"> were now more than 40 Acts conferring powers of arrest without warrant. As the TLRI </w:t>
      </w:r>
      <w:r w:rsidR="00CF65F3" w:rsidRPr="00F1588D">
        <w:rPr>
          <w:rFonts w:ascii="Cambria" w:hAnsi="Cambria"/>
          <w:color w:val="000000" w:themeColor="text1"/>
        </w:rPr>
        <w:t>observed</w:t>
      </w:r>
      <w:r w:rsidRPr="00F1588D">
        <w:rPr>
          <w:rFonts w:ascii="Cambria" w:hAnsi="Cambria"/>
          <w:color w:val="000000" w:themeColor="text1"/>
        </w:rPr>
        <w:t>,</w:t>
      </w:r>
      <w:r w:rsidR="00CF65F3" w:rsidRPr="00F1588D">
        <w:rPr>
          <w:rFonts w:ascii="Cambria" w:hAnsi="Cambria"/>
          <w:color w:val="000000" w:themeColor="text1"/>
        </w:rPr>
        <w:t xml:space="preserve"> </w:t>
      </w:r>
      <w:r w:rsidRPr="00F1588D">
        <w:rPr>
          <w:rFonts w:ascii="Cambria" w:hAnsi="Cambria"/>
          <w:color w:val="000000" w:themeColor="text1"/>
        </w:rPr>
        <w:t>"the proliferation in arrest powers since 1977 can be attributed partly to an increase in specialist legislation, which, in dealing with a particular issue</w:t>
      </w:r>
      <w:r w:rsidR="008F5646" w:rsidRPr="00F1588D">
        <w:rPr>
          <w:rFonts w:ascii="Cambria" w:hAnsi="Cambria"/>
          <w:color w:val="000000" w:themeColor="text1"/>
        </w:rPr>
        <w:t xml:space="preserve"> </w:t>
      </w:r>
      <w:r w:rsidRPr="00F1588D">
        <w:rPr>
          <w:rFonts w:ascii="Cambria" w:hAnsi="Cambria"/>
          <w:color w:val="000000" w:themeColor="text1"/>
        </w:rPr>
        <w:t>creates powers of arrest specific to that matter".</w:t>
      </w:r>
      <w:r w:rsidRPr="00F1588D">
        <w:rPr>
          <w:rStyle w:val="FootnoteReference"/>
          <w:rFonts w:ascii="Cambria" w:hAnsi="Cambria"/>
          <w:color w:val="000000" w:themeColor="text1"/>
        </w:rPr>
        <w:footnoteReference w:id="4"/>
      </w:r>
      <w:r w:rsidRPr="00F1588D">
        <w:rPr>
          <w:rFonts w:ascii="Cambria" w:hAnsi="Cambria"/>
          <w:color w:val="000000" w:themeColor="text1"/>
        </w:rPr>
        <w:t xml:space="preserve"> As the TLRI noted "this creates difficulties for arrestors in knowing when they have a valid power of arrest and for arrestees in knowing whether they are required to submit to the authority of the arrestor".</w:t>
      </w:r>
      <w:r w:rsidRPr="00F1588D">
        <w:rPr>
          <w:rStyle w:val="FootnoteReference"/>
          <w:rFonts w:ascii="Cambria" w:hAnsi="Cambria"/>
          <w:color w:val="000000" w:themeColor="text1"/>
        </w:rPr>
        <w:footnoteReference w:id="5"/>
      </w:r>
    </w:p>
    <w:p w:rsidR="004B50DA" w:rsidRPr="00F1588D" w:rsidRDefault="004B50DA" w:rsidP="004B50DA">
      <w:pPr>
        <w:ind w:right="-347"/>
        <w:jc w:val="both"/>
        <w:rPr>
          <w:rFonts w:ascii="Cambria" w:hAnsi="Cambria"/>
          <w:color w:val="000000" w:themeColor="text1"/>
        </w:rPr>
      </w:pPr>
    </w:p>
    <w:p w:rsidR="004B50DA" w:rsidRPr="00F1588D" w:rsidRDefault="004B50DA" w:rsidP="004B50DA">
      <w:pPr>
        <w:ind w:right="-347"/>
        <w:jc w:val="both"/>
        <w:rPr>
          <w:rFonts w:ascii="Cambria" w:hAnsi="Cambria"/>
          <w:color w:val="000000" w:themeColor="text1"/>
        </w:rPr>
      </w:pPr>
      <w:r w:rsidRPr="00F1588D">
        <w:rPr>
          <w:rFonts w:ascii="Cambria" w:hAnsi="Cambria"/>
          <w:color w:val="000000" w:themeColor="text1"/>
        </w:rPr>
        <w:lastRenderedPageBreak/>
        <w:t xml:space="preserve">As well as the large number of laws </w:t>
      </w:r>
      <w:r w:rsidR="00CF65F3" w:rsidRPr="00F1588D">
        <w:rPr>
          <w:rFonts w:ascii="Cambria" w:hAnsi="Cambria"/>
          <w:color w:val="000000" w:themeColor="text1"/>
        </w:rPr>
        <w:t xml:space="preserve">containing </w:t>
      </w:r>
      <w:r w:rsidRPr="00F1588D">
        <w:rPr>
          <w:rFonts w:ascii="Cambria" w:hAnsi="Cambria"/>
          <w:color w:val="000000" w:themeColor="text1"/>
        </w:rPr>
        <w:t>arrest powers, the powers are inconsistently applied</w:t>
      </w:r>
      <w:r w:rsidR="00CF65F3" w:rsidRPr="00F1588D">
        <w:rPr>
          <w:rFonts w:ascii="Cambria" w:hAnsi="Cambria"/>
          <w:color w:val="000000" w:themeColor="text1"/>
        </w:rPr>
        <w:t xml:space="preserve"> with </w:t>
      </w:r>
      <w:r w:rsidR="00857C56" w:rsidRPr="00F1588D">
        <w:rPr>
          <w:rFonts w:ascii="Cambria" w:hAnsi="Cambria"/>
          <w:color w:val="000000" w:themeColor="text1"/>
        </w:rPr>
        <w:t>the TLRI</w:t>
      </w:r>
      <w:r w:rsidR="00CF65F3" w:rsidRPr="00F1588D">
        <w:rPr>
          <w:rFonts w:ascii="Cambria" w:hAnsi="Cambria"/>
          <w:color w:val="000000" w:themeColor="text1"/>
        </w:rPr>
        <w:t xml:space="preserve"> pointing out that</w:t>
      </w:r>
      <w:r w:rsidR="00857C56" w:rsidRPr="00F1588D">
        <w:rPr>
          <w:rFonts w:ascii="Cambria" w:hAnsi="Cambria"/>
          <w:color w:val="000000" w:themeColor="text1"/>
        </w:rPr>
        <w:t>,</w:t>
      </w:r>
      <w:r w:rsidRPr="00F1588D">
        <w:rPr>
          <w:rFonts w:ascii="Cambria" w:hAnsi="Cambria"/>
          <w:color w:val="000000" w:themeColor="text1"/>
        </w:rPr>
        <w:t xml:space="preserve"> it is unclear why persons would be arrested for failing to provide their name, address and age or date of birth pursuant to the </w:t>
      </w:r>
      <w:r w:rsidRPr="00F1588D">
        <w:rPr>
          <w:rFonts w:ascii="Cambria" w:hAnsi="Cambria"/>
          <w:i/>
          <w:iCs/>
          <w:color w:val="000000" w:themeColor="text1"/>
        </w:rPr>
        <w:t>Liquor Licensing Act 1990</w:t>
      </w:r>
      <w:r w:rsidRPr="00F1588D">
        <w:rPr>
          <w:rFonts w:ascii="Cambria" w:hAnsi="Cambria"/>
          <w:color w:val="000000" w:themeColor="text1"/>
        </w:rPr>
        <w:t xml:space="preserve">, </w:t>
      </w:r>
      <w:r w:rsidRPr="00F1588D">
        <w:rPr>
          <w:rFonts w:ascii="Cambria" w:hAnsi="Cambria"/>
          <w:i/>
          <w:iCs/>
          <w:color w:val="000000" w:themeColor="text1"/>
        </w:rPr>
        <w:t>Animal Welfare Act 1993</w:t>
      </w:r>
      <w:r w:rsidRPr="00F1588D">
        <w:rPr>
          <w:rFonts w:ascii="Cambria" w:hAnsi="Cambria"/>
          <w:color w:val="000000" w:themeColor="text1"/>
        </w:rPr>
        <w:t xml:space="preserve">, </w:t>
      </w:r>
      <w:r w:rsidRPr="00F1588D">
        <w:rPr>
          <w:rFonts w:ascii="Cambria" w:hAnsi="Cambria"/>
          <w:i/>
          <w:iCs/>
          <w:color w:val="000000" w:themeColor="text1"/>
        </w:rPr>
        <w:t>Gaming Control Act 1993</w:t>
      </w:r>
      <w:r w:rsidRPr="00F1588D">
        <w:rPr>
          <w:rFonts w:ascii="Cambria" w:hAnsi="Cambria"/>
          <w:color w:val="000000" w:themeColor="text1"/>
        </w:rPr>
        <w:t xml:space="preserve"> and </w:t>
      </w:r>
      <w:r w:rsidRPr="00F1588D">
        <w:rPr>
          <w:rFonts w:ascii="Cambria" w:hAnsi="Cambria"/>
          <w:i/>
          <w:iCs/>
          <w:color w:val="000000" w:themeColor="text1"/>
        </w:rPr>
        <w:t>Firearms Act 1996</w:t>
      </w:r>
      <w:r w:rsidRPr="00F1588D">
        <w:rPr>
          <w:rFonts w:ascii="Cambria" w:hAnsi="Cambria"/>
          <w:color w:val="000000" w:themeColor="text1"/>
        </w:rPr>
        <w:t xml:space="preserve"> but will be arrested if they do not provide their name and address (age or date or birth are not required) for Acts such as the </w:t>
      </w:r>
      <w:r w:rsidRPr="00F1588D">
        <w:rPr>
          <w:rFonts w:ascii="Cambria" w:hAnsi="Cambria"/>
          <w:i/>
          <w:iCs/>
          <w:color w:val="000000" w:themeColor="text1"/>
        </w:rPr>
        <w:t>Traffic Act 1925</w:t>
      </w:r>
      <w:r w:rsidRPr="00F1588D">
        <w:rPr>
          <w:rFonts w:ascii="Cambria" w:hAnsi="Cambria"/>
          <w:color w:val="000000" w:themeColor="text1"/>
        </w:rPr>
        <w:t xml:space="preserve">, </w:t>
      </w:r>
      <w:r w:rsidRPr="00F1588D">
        <w:rPr>
          <w:rFonts w:ascii="Cambria" w:hAnsi="Cambria"/>
          <w:i/>
          <w:iCs/>
          <w:color w:val="000000" w:themeColor="text1"/>
        </w:rPr>
        <w:t>Police Offences Act 1935</w:t>
      </w:r>
      <w:r w:rsidRPr="00F1588D">
        <w:rPr>
          <w:rFonts w:ascii="Cambria" w:hAnsi="Cambria"/>
          <w:color w:val="000000" w:themeColor="text1"/>
        </w:rPr>
        <w:t xml:space="preserve">, </w:t>
      </w:r>
      <w:r w:rsidRPr="00F1588D">
        <w:rPr>
          <w:rFonts w:ascii="Cambria" w:hAnsi="Cambria"/>
          <w:i/>
          <w:iCs/>
          <w:color w:val="000000" w:themeColor="text1"/>
        </w:rPr>
        <w:t>Road Safety (Alcohol and Drugs) Act 1970</w:t>
      </w:r>
      <w:r w:rsidRPr="00F1588D">
        <w:rPr>
          <w:rFonts w:ascii="Cambria" w:hAnsi="Cambria"/>
          <w:color w:val="000000" w:themeColor="text1"/>
        </w:rPr>
        <w:t xml:space="preserve">, </w:t>
      </w:r>
      <w:r w:rsidRPr="00F1588D">
        <w:rPr>
          <w:rFonts w:ascii="Cambria" w:hAnsi="Cambria"/>
          <w:i/>
          <w:iCs/>
          <w:color w:val="000000" w:themeColor="text1"/>
        </w:rPr>
        <w:t>Poisons Act 1971</w:t>
      </w:r>
      <w:r w:rsidRPr="00F1588D">
        <w:rPr>
          <w:rFonts w:ascii="Cambria" w:hAnsi="Cambria"/>
          <w:color w:val="000000" w:themeColor="text1"/>
        </w:rPr>
        <w:t xml:space="preserve">, </w:t>
      </w:r>
      <w:r w:rsidRPr="00F1588D">
        <w:rPr>
          <w:rFonts w:ascii="Cambria" w:hAnsi="Cambria"/>
          <w:i/>
          <w:iCs/>
          <w:color w:val="000000" w:themeColor="text1"/>
        </w:rPr>
        <w:t>Local Government (Highways) Act 1982</w:t>
      </w:r>
      <w:r w:rsidRPr="00F1588D">
        <w:rPr>
          <w:rFonts w:ascii="Cambria" w:hAnsi="Cambria"/>
          <w:color w:val="000000" w:themeColor="text1"/>
        </w:rPr>
        <w:t xml:space="preserve">, </w:t>
      </w:r>
      <w:r w:rsidRPr="00F1588D">
        <w:rPr>
          <w:rFonts w:ascii="Cambria" w:hAnsi="Cambria"/>
          <w:i/>
          <w:iCs/>
          <w:color w:val="000000" w:themeColor="text1"/>
        </w:rPr>
        <w:t>Whales Protection Act 1988</w:t>
      </w:r>
      <w:r w:rsidRPr="00F1588D">
        <w:rPr>
          <w:rFonts w:ascii="Cambria" w:hAnsi="Cambria"/>
          <w:color w:val="000000" w:themeColor="text1"/>
        </w:rPr>
        <w:t xml:space="preserve">, </w:t>
      </w:r>
      <w:r w:rsidRPr="00F1588D">
        <w:rPr>
          <w:rFonts w:ascii="Cambria" w:hAnsi="Cambria"/>
          <w:i/>
          <w:iCs/>
          <w:color w:val="000000" w:themeColor="text1"/>
        </w:rPr>
        <w:t>Wellington Park Act 1993</w:t>
      </w:r>
      <w:r w:rsidRPr="00F1588D">
        <w:rPr>
          <w:rFonts w:ascii="Cambria" w:hAnsi="Cambria"/>
          <w:color w:val="000000" w:themeColor="text1"/>
        </w:rPr>
        <w:t xml:space="preserve">, </w:t>
      </w:r>
      <w:r w:rsidRPr="00F1588D">
        <w:rPr>
          <w:rFonts w:ascii="Cambria" w:hAnsi="Cambria"/>
          <w:i/>
          <w:iCs/>
          <w:color w:val="000000" w:themeColor="text1"/>
        </w:rPr>
        <w:t>Second-hand Dealers and Pawnbrokers Act 1994</w:t>
      </w:r>
      <w:r w:rsidRPr="00F1588D">
        <w:rPr>
          <w:rFonts w:ascii="Cambria" w:hAnsi="Cambria"/>
          <w:color w:val="000000" w:themeColor="text1"/>
        </w:rPr>
        <w:t xml:space="preserve">, </w:t>
      </w:r>
      <w:r w:rsidRPr="00F1588D">
        <w:rPr>
          <w:rFonts w:ascii="Cambria" w:hAnsi="Cambria"/>
          <w:i/>
          <w:iCs/>
          <w:color w:val="000000" w:themeColor="text1"/>
        </w:rPr>
        <w:t>Environmental Management and Pollution Control Act 1994</w:t>
      </w:r>
      <w:r w:rsidRPr="00F1588D">
        <w:rPr>
          <w:rFonts w:ascii="Cambria" w:hAnsi="Cambria"/>
          <w:color w:val="000000" w:themeColor="text1"/>
        </w:rPr>
        <w:t xml:space="preserve">, </w:t>
      </w:r>
      <w:r w:rsidRPr="00F1588D">
        <w:rPr>
          <w:rFonts w:ascii="Cambria" w:hAnsi="Cambria"/>
          <w:i/>
          <w:iCs/>
          <w:color w:val="000000" w:themeColor="text1"/>
        </w:rPr>
        <w:t>Misuse of Drugs Act 2001</w:t>
      </w:r>
      <w:r w:rsidRPr="00F1588D">
        <w:rPr>
          <w:rFonts w:ascii="Cambria" w:hAnsi="Cambria"/>
          <w:color w:val="000000" w:themeColor="text1"/>
        </w:rPr>
        <w:t xml:space="preserve">, </w:t>
      </w:r>
      <w:r w:rsidRPr="00F1588D">
        <w:rPr>
          <w:rFonts w:ascii="Cambria" w:hAnsi="Cambria"/>
          <w:i/>
          <w:iCs/>
          <w:color w:val="000000" w:themeColor="text1"/>
        </w:rPr>
        <w:t>National Parks and Reserves Management Act 2002</w:t>
      </w:r>
      <w:r w:rsidRPr="00F1588D">
        <w:rPr>
          <w:rFonts w:ascii="Cambria" w:hAnsi="Cambria"/>
          <w:color w:val="000000" w:themeColor="text1"/>
        </w:rPr>
        <w:t xml:space="preserve">, </w:t>
      </w:r>
      <w:r w:rsidRPr="00F1588D">
        <w:rPr>
          <w:rFonts w:ascii="Cambria" w:hAnsi="Cambria"/>
          <w:i/>
          <w:iCs/>
          <w:color w:val="000000" w:themeColor="text1"/>
        </w:rPr>
        <w:t>Nature Conservation Act 2002</w:t>
      </w:r>
      <w:r w:rsidRPr="00F1588D">
        <w:rPr>
          <w:rFonts w:ascii="Cambria" w:hAnsi="Cambria"/>
          <w:color w:val="000000" w:themeColor="text1"/>
        </w:rPr>
        <w:t xml:space="preserve">, </w:t>
      </w:r>
      <w:r w:rsidRPr="00F1588D">
        <w:rPr>
          <w:rFonts w:ascii="Cambria" w:hAnsi="Cambria"/>
          <w:i/>
          <w:iCs/>
          <w:color w:val="000000" w:themeColor="text1"/>
        </w:rPr>
        <w:t>Police Service Act 2003</w:t>
      </w:r>
      <w:r w:rsidRPr="00F1588D">
        <w:rPr>
          <w:rFonts w:ascii="Cambria" w:hAnsi="Cambria"/>
          <w:color w:val="000000" w:themeColor="text1"/>
        </w:rPr>
        <w:t xml:space="preserve">, </w:t>
      </w:r>
      <w:r w:rsidRPr="00F1588D">
        <w:rPr>
          <w:rFonts w:ascii="Cambria" w:hAnsi="Cambria"/>
          <w:i/>
          <w:iCs/>
          <w:color w:val="000000" w:themeColor="text1"/>
        </w:rPr>
        <w:t>Racing Regulation Act 2004</w:t>
      </w:r>
      <w:r w:rsidRPr="00F1588D">
        <w:rPr>
          <w:rFonts w:ascii="Cambria" w:hAnsi="Cambria"/>
          <w:color w:val="000000" w:themeColor="text1"/>
        </w:rPr>
        <w:t xml:space="preserve"> and </w:t>
      </w:r>
      <w:r w:rsidRPr="00F1588D">
        <w:rPr>
          <w:rFonts w:ascii="Cambria" w:hAnsi="Cambria"/>
          <w:i/>
          <w:iCs/>
          <w:color w:val="000000" w:themeColor="text1"/>
        </w:rPr>
        <w:t>Police Powers (Public Safety) Act 2005</w:t>
      </w:r>
      <w:r w:rsidRPr="00F1588D">
        <w:rPr>
          <w:rFonts w:ascii="Cambria" w:hAnsi="Cambria"/>
          <w:color w:val="000000" w:themeColor="text1"/>
        </w:rPr>
        <w:t>.</w:t>
      </w:r>
      <w:r w:rsidR="00CF65F3" w:rsidRPr="00F1588D">
        <w:rPr>
          <w:rStyle w:val="FootnoteReference"/>
          <w:rFonts w:ascii="Cambria" w:hAnsi="Cambria"/>
          <w:color w:val="000000" w:themeColor="text1"/>
        </w:rPr>
        <w:footnoteReference w:id="6"/>
      </w:r>
      <w:r w:rsidRPr="00F1588D">
        <w:rPr>
          <w:rFonts w:ascii="Cambria" w:hAnsi="Cambria"/>
          <w:color w:val="000000" w:themeColor="text1"/>
        </w:rPr>
        <w:t xml:space="preserve"> </w:t>
      </w:r>
    </w:p>
    <w:p w:rsidR="004B50DA" w:rsidRPr="00F1588D" w:rsidRDefault="004B50DA" w:rsidP="00C814B9">
      <w:pPr>
        <w:ind w:right="-347"/>
        <w:jc w:val="both"/>
        <w:rPr>
          <w:rFonts w:ascii="Cambria" w:hAnsi="Cambria"/>
          <w:color w:val="000000" w:themeColor="text1"/>
        </w:rPr>
      </w:pPr>
    </w:p>
    <w:p w:rsidR="00857C56" w:rsidRPr="00F1588D" w:rsidRDefault="00857C56" w:rsidP="00857C56">
      <w:pPr>
        <w:ind w:right="-347"/>
        <w:jc w:val="both"/>
        <w:rPr>
          <w:rFonts w:ascii="Cambria" w:hAnsi="Cambria"/>
          <w:color w:val="000000" w:themeColor="text1"/>
        </w:rPr>
      </w:pPr>
      <w:r w:rsidRPr="00F1588D">
        <w:rPr>
          <w:rFonts w:ascii="Cambria" w:hAnsi="Cambria"/>
          <w:color w:val="000000" w:themeColor="text1"/>
        </w:rPr>
        <w:t xml:space="preserve">Finally, it is also confusing that there are different levels of belief or suspicion both between Acts and within Acts. For example, the </w:t>
      </w:r>
      <w:r w:rsidRPr="00F1588D">
        <w:rPr>
          <w:rFonts w:ascii="Cambria" w:hAnsi="Cambria"/>
          <w:i/>
          <w:iCs/>
          <w:color w:val="000000" w:themeColor="text1"/>
        </w:rPr>
        <w:t>Police Offences Act 1935</w:t>
      </w:r>
      <w:r w:rsidRPr="00F1588D">
        <w:rPr>
          <w:rFonts w:ascii="Cambria" w:hAnsi="Cambria"/>
          <w:color w:val="000000" w:themeColor="text1"/>
        </w:rPr>
        <w:t xml:space="preserve"> (Tas) alone provides ‘</w:t>
      </w:r>
      <w:r w:rsidRPr="00F1588D">
        <w:rPr>
          <w:rFonts w:ascii="Cambria" w:hAnsi="Cambria"/>
          <w:color w:val="000000" w:themeColor="text1"/>
          <w:shd w:val="clear" w:color="auto" w:fill="FFFFFF"/>
        </w:rPr>
        <w:t>believes on reasonable grounds</w:t>
      </w:r>
      <w:r w:rsidRPr="00F1588D">
        <w:rPr>
          <w:rFonts w:ascii="Cambria" w:hAnsi="Cambria"/>
          <w:color w:val="000000" w:themeColor="text1"/>
        </w:rPr>
        <w:t>’,</w:t>
      </w:r>
      <w:r w:rsidRPr="00F1588D">
        <w:rPr>
          <w:rStyle w:val="FootnoteReference"/>
          <w:rFonts w:ascii="Cambria" w:hAnsi="Cambria"/>
          <w:color w:val="000000" w:themeColor="text1"/>
        </w:rPr>
        <w:footnoteReference w:id="7"/>
      </w:r>
      <w:r w:rsidRPr="00F1588D">
        <w:rPr>
          <w:rFonts w:ascii="Cambria" w:hAnsi="Cambria"/>
          <w:color w:val="000000" w:themeColor="text1"/>
        </w:rPr>
        <w:t xml:space="preserve"> ‘has reasonable grounds to believe’,</w:t>
      </w:r>
      <w:r w:rsidRPr="00F1588D">
        <w:rPr>
          <w:rStyle w:val="FootnoteReference"/>
          <w:rFonts w:ascii="Cambria" w:hAnsi="Cambria"/>
          <w:color w:val="000000" w:themeColor="text1"/>
        </w:rPr>
        <w:footnoteReference w:id="8"/>
      </w:r>
      <w:r w:rsidRPr="00F1588D">
        <w:rPr>
          <w:rFonts w:ascii="Cambria" w:hAnsi="Cambria"/>
          <w:color w:val="000000" w:themeColor="text1"/>
        </w:rPr>
        <w:t xml:space="preserve"> ‘reasonably suspects’;</w:t>
      </w:r>
      <w:r w:rsidRPr="00F1588D">
        <w:rPr>
          <w:rStyle w:val="FootnoteReference"/>
          <w:rFonts w:ascii="Cambria" w:hAnsi="Cambria"/>
          <w:color w:val="000000" w:themeColor="text1"/>
        </w:rPr>
        <w:footnoteReference w:id="9"/>
      </w:r>
      <w:r w:rsidRPr="00F1588D">
        <w:rPr>
          <w:rFonts w:ascii="Cambria" w:hAnsi="Cambria"/>
          <w:color w:val="000000" w:themeColor="text1"/>
        </w:rPr>
        <w:t xml:space="preserve"> ‘reasonably believes’;</w:t>
      </w:r>
      <w:r w:rsidRPr="00F1588D">
        <w:rPr>
          <w:rStyle w:val="FootnoteReference"/>
          <w:rFonts w:ascii="Cambria" w:hAnsi="Cambria"/>
          <w:color w:val="000000" w:themeColor="text1"/>
        </w:rPr>
        <w:footnoteReference w:id="10"/>
      </w:r>
      <w:r w:rsidRPr="00F1588D">
        <w:rPr>
          <w:rFonts w:ascii="Cambria" w:hAnsi="Cambria"/>
          <w:color w:val="000000" w:themeColor="text1"/>
        </w:rPr>
        <w:t xml:space="preserve"> ‘has reasonable grounds for believing’</w:t>
      </w:r>
      <w:r w:rsidRPr="00F1588D">
        <w:rPr>
          <w:rStyle w:val="FootnoteReference"/>
          <w:rFonts w:ascii="Cambria" w:hAnsi="Cambria"/>
          <w:color w:val="000000" w:themeColor="text1"/>
        </w:rPr>
        <w:footnoteReference w:id="11"/>
      </w:r>
      <w:r w:rsidRPr="00F1588D">
        <w:rPr>
          <w:rFonts w:ascii="Cambria" w:hAnsi="Cambria"/>
          <w:color w:val="000000" w:themeColor="text1"/>
        </w:rPr>
        <w:t xml:space="preserve"> and ‘has reasonable grounds to suspect’.</w:t>
      </w:r>
      <w:r w:rsidRPr="00F1588D">
        <w:rPr>
          <w:rStyle w:val="FootnoteReference"/>
          <w:rFonts w:ascii="Cambria" w:hAnsi="Cambria"/>
          <w:color w:val="000000" w:themeColor="text1"/>
        </w:rPr>
        <w:footnoteReference w:id="12"/>
      </w:r>
    </w:p>
    <w:p w:rsidR="00857C56" w:rsidRPr="00F1588D" w:rsidRDefault="00857C56" w:rsidP="00F65D4C">
      <w:pPr>
        <w:ind w:right="-347"/>
        <w:jc w:val="both"/>
        <w:rPr>
          <w:rFonts w:ascii="Cambria" w:hAnsi="Cambria"/>
          <w:iCs/>
          <w:color w:val="000000" w:themeColor="text1"/>
        </w:rPr>
      </w:pPr>
    </w:p>
    <w:p w:rsidR="00C814B9" w:rsidRPr="00F1588D" w:rsidRDefault="00C814B9" w:rsidP="00F65D4C">
      <w:pPr>
        <w:ind w:right="-347"/>
        <w:jc w:val="both"/>
        <w:rPr>
          <w:rFonts w:ascii="Cambria" w:hAnsi="Cambria"/>
          <w:color w:val="000000" w:themeColor="text1"/>
        </w:rPr>
      </w:pPr>
      <w:r w:rsidRPr="00F1588D">
        <w:rPr>
          <w:rFonts w:ascii="Cambria" w:hAnsi="Cambria"/>
          <w:iCs/>
          <w:color w:val="000000" w:themeColor="text1"/>
        </w:rPr>
        <w:t>With t</w:t>
      </w:r>
      <w:r w:rsidR="009C2CF6" w:rsidRPr="00F1588D">
        <w:rPr>
          <w:rFonts w:ascii="Cambria" w:hAnsi="Cambria"/>
          <w:iCs/>
          <w:color w:val="000000" w:themeColor="text1"/>
        </w:rPr>
        <w:t xml:space="preserve">he </w:t>
      </w:r>
      <w:r w:rsidR="00A133FB" w:rsidRPr="00F1588D">
        <w:rPr>
          <w:rFonts w:ascii="Cambria" w:hAnsi="Cambria"/>
          <w:iCs/>
          <w:color w:val="000000" w:themeColor="text1"/>
        </w:rPr>
        <w:t>TLRI</w:t>
      </w:r>
      <w:r w:rsidR="009C2CF6" w:rsidRPr="00F1588D">
        <w:rPr>
          <w:rFonts w:ascii="Cambria" w:hAnsi="Cambria"/>
          <w:iCs/>
          <w:color w:val="000000" w:themeColor="text1"/>
        </w:rPr>
        <w:t xml:space="preserve"> </w:t>
      </w:r>
      <w:r w:rsidRPr="00F1588D">
        <w:rPr>
          <w:rFonts w:ascii="Cambria" w:hAnsi="Cambria"/>
          <w:iCs/>
          <w:color w:val="000000" w:themeColor="text1"/>
        </w:rPr>
        <w:t xml:space="preserve">having recommended </w:t>
      </w:r>
      <w:r w:rsidR="004B50DA" w:rsidRPr="00F1588D">
        <w:rPr>
          <w:rFonts w:ascii="Cambria" w:hAnsi="Cambria"/>
          <w:iCs/>
          <w:color w:val="000000" w:themeColor="text1"/>
        </w:rPr>
        <w:t>more than a decade ago</w:t>
      </w:r>
      <w:r w:rsidRPr="00F1588D">
        <w:rPr>
          <w:rFonts w:ascii="Cambria" w:hAnsi="Cambria"/>
          <w:iCs/>
          <w:color w:val="000000" w:themeColor="text1"/>
        </w:rPr>
        <w:t xml:space="preserve"> </w:t>
      </w:r>
      <w:r w:rsidR="009C2CF6" w:rsidRPr="00F1588D">
        <w:rPr>
          <w:rFonts w:ascii="Cambria" w:hAnsi="Cambria"/>
          <w:iCs/>
          <w:color w:val="000000" w:themeColor="text1"/>
        </w:rPr>
        <w:t>that Tasmania consolidate arrest powers into one statute</w:t>
      </w:r>
      <w:r w:rsidR="009C2CF6" w:rsidRPr="00F1588D">
        <w:rPr>
          <w:rStyle w:val="FootnoteReference"/>
          <w:rFonts w:ascii="Cambria" w:hAnsi="Cambria"/>
          <w:iCs/>
          <w:color w:val="000000" w:themeColor="text1"/>
        </w:rPr>
        <w:footnoteReference w:id="13"/>
      </w:r>
      <w:r w:rsidR="009C2CF6" w:rsidRPr="00F1588D">
        <w:rPr>
          <w:rFonts w:ascii="Cambria" w:hAnsi="Cambria"/>
          <w:iCs/>
          <w:color w:val="000000" w:themeColor="text1"/>
        </w:rPr>
        <w:t xml:space="preserve"> </w:t>
      </w:r>
      <w:r w:rsidRPr="00F1588D">
        <w:rPr>
          <w:rFonts w:ascii="Cambria" w:hAnsi="Cambria"/>
          <w:color w:val="000000" w:themeColor="text1"/>
        </w:rPr>
        <w:t>t</w:t>
      </w:r>
      <w:r w:rsidR="00180930" w:rsidRPr="00F1588D">
        <w:rPr>
          <w:rFonts w:ascii="Cambria" w:hAnsi="Cambria"/>
          <w:color w:val="000000" w:themeColor="text1"/>
        </w:rPr>
        <w:t>he introduction of consolidated police powers will better ensure consistency in the use of police powers,</w:t>
      </w:r>
      <w:r w:rsidR="007E7E89" w:rsidRPr="00F1588D">
        <w:rPr>
          <w:rFonts w:ascii="Cambria" w:hAnsi="Cambria"/>
          <w:color w:val="000000" w:themeColor="text1"/>
        </w:rPr>
        <w:t xml:space="preserve"> </w:t>
      </w:r>
      <w:r w:rsidR="00180930" w:rsidRPr="00F1588D">
        <w:rPr>
          <w:rFonts w:ascii="Cambria" w:hAnsi="Cambria"/>
          <w:color w:val="000000" w:themeColor="text1"/>
        </w:rPr>
        <w:t>minimise errors and make the law more accessible.</w:t>
      </w:r>
      <w:r w:rsidR="009C2CF6" w:rsidRPr="00F1588D">
        <w:rPr>
          <w:rFonts w:ascii="Cambria" w:hAnsi="Cambria"/>
          <w:iCs/>
          <w:color w:val="000000" w:themeColor="text1"/>
        </w:rPr>
        <w:t xml:space="preserve"> </w:t>
      </w:r>
    </w:p>
    <w:p w:rsidR="00C2739F" w:rsidRPr="00F1588D" w:rsidRDefault="00C2739F" w:rsidP="00F65D4C">
      <w:pPr>
        <w:ind w:right="-347"/>
        <w:jc w:val="both"/>
        <w:rPr>
          <w:rFonts w:ascii="Cambria" w:hAnsi="Cambria"/>
          <w:color w:val="000000" w:themeColor="text1"/>
        </w:rPr>
      </w:pPr>
    </w:p>
    <w:p w:rsidR="00ED5991" w:rsidRPr="00F1588D" w:rsidRDefault="00B86E3E" w:rsidP="00F65D4C">
      <w:pPr>
        <w:ind w:right="-347"/>
        <w:jc w:val="both"/>
        <w:rPr>
          <w:rFonts w:ascii="Cambria" w:hAnsi="Cambria"/>
          <w:iCs/>
          <w:color w:val="000000" w:themeColor="text1"/>
        </w:rPr>
      </w:pPr>
      <w:r w:rsidRPr="00F1588D">
        <w:rPr>
          <w:rFonts w:ascii="Cambria" w:hAnsi="Cambria"/>
          <w:iCs/>
          <w:color w:val="000000" w:themeColor="text1"/>
        </w:rPr>
        <w:t xml:space="preserve">We support the Government’s commitment not to broaden the current limitations on the power to arrest youth </w:t>
      </w:r>
      <w:r w:rsidR="00ED5991" w:rsidRPr="00F1588D">
        <w:rPr>
          <w:rFonts w:ascii="Cambria" w:hAnsi="Cambria"/>
          <w:color w:val="000000" w:themeColor="text1"/>
        </w:rPr>
        <w:t xml:space="preserve">or the associated duties of a police officer where a youth is arrested, that are currently provided for in sections 24 and 24A of the </w:t>
      </w:r>
      <w:r w:rsidR="00ED5991" w:rsidRPr="00F1588D">
        <w:rPr>
          <w:rFonts w:ascii="Cambria" w:hAnsi="Cambria"/>
          <w:i/>
          <w:iCs/>
          <w:color w:val="000000" w:themeColor="text1"/>
        </w:rPr>
        <w:t>Youth Justice Act 1997</w:t>
      </w:r>
      <w:r w:rsidR="00ED5991" w:rsidRPr="00F1588D">
        <w:rPr>
          <w:rFonts w:ascii="Cambria" w:hAnsi="Cambria"/>
          <w:color w:val="000000" w:themeColor="text1"/>
        </w:rPr>
        <w:t>.</w:t>
      </w:r>
      <w:r w:rsidRPr="00F1588D">
        <w:rPr>
          <w:rFonts w:ascii="Cambria" w:hAnsi="Cambria"/>
          <w:color w:val="000000" w:themeColor="text1"/>
        </w:rPr>
        <w:t xml:space="preserve"> </w:t>
      </w:r>
      <w:r w:rsidRPr="00F1588D">
        <w:rPr>
          <w:rFonts w:ascii="Cambria" w:hAnsi="Cambria"/>
          <w:iCs/>
          <w:color w:val="000000" w:themeColor="text1"/>
        </w:rPr>
        <w:t xml:space="preserve">We also support other Government commitments </w:t>
      </w:r>
      <w:r w:rsidR="00DF771F" w:rsidRPr="00F1588D">
        <w:rPr>
          <w:rFonts w:ascii="Cambria" w:hAnsi="Cambria"/>
          <w:iCs/>
          <w:color w:val="000000" w:themeColor="text1"/>
        </w:rPr>
        <w:t xml:space="preserve">to young people and acknowledged in the </w:t>
      </w:r>
      <w:r w:rsidR="00CF65F3" w:rsidRPr="00F1588D">
        <w:rPr>
          <w:rFonts w:ascii="Cambria" w:hAnsi="Cambria"/>
          <w:iCs/>
          <w:color w:val="000000" w:themeColor="text1"/>
        </w:rPr>
        <w:t>p</w:t>
      </w:r>
      <w:r w:rsidR="00DF771F" w:rsidRPr="00F1588D">
        <w:rPr>
          <w:rFonts w:ascii="Cambria" w:hAnsi="Cambria"/>
          <w:iCs/>
          <w:color w:val="000000" w:themeColor="text1"/>
        </w:rPr>
        <w:t xml:space="preserve">roposal </w:t>
      </w:r>
      <w:r w:rsidR="00CF65F3" w:rsidRPr="00F1588D">
        <w:rPr>
          <w:rFonts w:ascii="Cambria" w:hAnsi="Cambria"/>
          <w:iCs/>
          <w:color w:val="000000" w:themeColor="text1"/>
        </w:rPr>
        <w:t>p</w:t>
      </w:r>
      <w:r w:rsidR="00DF771F" w:rsidRPr="00F1588D">
        <w:rPr>
          <w:rFonts w:ascii="Cambria" w:hAnsi="Cambria"/>
          <w:iCs/>
          <w:color w:val="000000" w:themeColor="text1"/>
        </w:rPr>
        <w:t xml:space="preserve">aper </w:t>
      </w:r>
      <w:r w:rsidRPr="00F1588D">
        <w:rPr>
          <w:rFonts w:ascii="Cambria" w:hAnsi="Cambria"/>
          <w:iCs/>
          <w:color w:val="000000" w:themeColor="text1"/>
        </w:rPr>
        <w:t>including increasing the minimum age of detention to 16 years, raising the age of criminal responsibility from 10 to 14 years and law reform relating to the searching of youth.</w:t>
      </w:r>
      <w:r w:rsidR="00CD651B" w:rsidRPr="00F1588D">
        <w:rPr>
          <w:rFonts w:ascii="Cambria" w:hAnsi="Cambria"/>
          <w:iCs/>
          <w:color w:val="000000" w:themeColor="text1"/>
        </w:rPr>
        <w:t xml:space="preserve"> Finally, we welcome the Government’s commitment to implementing recommendations 12.13 and 12.27 from the Commission of Inquiry into the Tasmanian Government’s </w:t>
      </w:r>
      <w:r w:rsidR="00CD651B" w:rsidRPr="00F1588D">
        <w:rPr>
          <w:rFonts w:ascii="Cambria" w:hAnsi="Cambria"/>
          <w:iCs/>
          <w:color w:val="000000" w:themeColor="text1"/>
        </w:rPr>
        <w:lastRenderedPageBreak/>
        <w:t>Responses to Child Sexual Abuse in Institutional Settings</w:t>
      </w:r>
      <w:r w:rsidR="00C9426E" w:rsidRPr="00F1588D">
        <w:rPr>
          <w:rFonts w:ascii="Cambria" w:hAnsi="Cambria"/>
          <w:iCs/>
          <w:color w:val="000000" w:themeColor="text1"/>
        </w:rPr>
        <w:t xml:space="preserve">, relating to the exercise of police discretion in cautioning, arrest, custody, charging and bail, particularly for Aboriginal children and young people. </w:t>
      </w:r>
    </w:p>
    <w:p w:rsidR="00746D57" w:rsidRPr="00F1588D" w:rsidRDefault="00746D57" w:rsidP="00F65D4C">
      <w:pPr>
        <w:ind w:right="-347"/>
        <w:jc w:val="both"/>
        <w:rPr>
          <w:rFonts w:ascii="Cambria" w:hAnsi="Cambria"/>
          <w:iCs/>
          <w:color w:val="000000" w:themeColor="text1"/>
        </w:rPr>
      </w:pPr>
    </w:p>
    <w:p w:rsidR="00746D57" w:rsidRPr="00F1588D" w:rsidRDefault="00746D57" w:rsidP="00746D57">
      <w:pPr>
        <w:pStyle w:val="ListParagraph"/>
        <w:numPr>
          <w:ilvl w:val="0"/>
          <w:numId w:val="4"/>
        </w:numPr>
        <w:ind w:right="-347"/>
        <w:jc w:val="both"/>
        <w:rPr>
          <w:rFonts w:ascii="Cambria" w:hAnsi="Cambria"/>
          <w:b/>
          <w:bCs/>
          <w:i/>
          <w:color w:val="000000" w:themeColor="text1"/>
        </w:rPr>
      </w:pPr>
      <w:r w:rsidRPr="00F1588D">
        <w:rPr>
          <w:rFonts w:ascii="Cambria" w:hAnsi="Cambria"/>
          <w:b/>
          <w:bCs/>
          <w:i/>
          <w:color w:val="000000" w:themeColor="text1"/>
        </w:rPr>
        <w:t>Informing of the reasons for arrest</w:t>
      </w:r>
    </w:p>
    <w:p w:rsidR="00746D57" w:rsidRPr="00F1588D" w:rsidRDefault="00746D57" w:rsidP="00746D57">
      <w:pPr>
        <w:ind w:right="-347"/>
        <w:jc w:val="both"/>
        <w:rPr>
          <w:rFonts w:ascii="Cambria" w:hAnsi="Cambria"/>
          <w:iCs/>
          <w:color w:val="000000" w:themeColor="text1"/>
        </w:rPr>
      </w:pPr>
      <w:r w:rsidRPr="00F1588D">
        <w:rPr>
          <w:rFonts w:ascii="Cambria" w:hAnsi="Cambria"/>
          <w:iCs/>
          <w:color w:val="000000" w:themeColor="text1"/>
        </w:rPr>
        <w:t>Section 301(2)</w:t>
      </w:r>
      <w:r w:rsidR="00A94C40" w:rsidRPr="00F1588D">
        <w:rPr>
          <w:rFonts w:ascii="Cambria" w:hAnsi="Cambria"/>
          <w:iCs/>
          <w:color w:val="000000" w:themeColor="text1"/>
        </w:rPr>
        <w:t xml:space="preserve"> of the </w:t>
      </w:r>
      <w:r w:rsidR="00A94C40" w:rsidRPr="00F1588D">
        <w:rPr>
          <w:rFonts w:ascii="Cambria" w:hAnsi="Cambria"/>
          <w:i/>
          <w:color w:val="000000" w:themeColor="text1"/>
        </w:rPr>
        <w:t>Criminal Code Act 1924</w:t>
      </w:r>
      <w:r w:rsidR="00A94C40" w:rsidRPr="00F1588D">
        <w:rPr>
          <w:rFonts w:ascii="Cambria" w:hAnsi="Cambria"/>
          <w:iCs/>
          <w:color w:val="000000" w:themeColor="text1"/>
        </w:rPr>
        <w:t xml:space="preserve"> (</w:t>
      </w:r>
      <w:proofErr w:type="spellStart"/>
      <w:r w:rsidR="00A94C40" w:rsidRPr="00F1588D">
        <w:rPr>
          <w:rFonts w:ascii="Cambria" w:hAnsi="Cambria"/>
          <w:iCs/>
          <w:color w:val="000000" w:themeColor="text1"/>
        </w:rPr>
        <w:t>Cth</w:t>
      </w:r>
      <w:proofErr w:type="spellEnd"/>
      <w:r w:rsidR="00A94C40" w:rsidRPr="00F1588D">
        <w:rPr>
          <w:rFonts w:ascii="Cambria" w:hAnsi="Cambria"/>
          <w:iCs/>
          <w:color w:val="000000" w:themeColor="text1"/>
        </w:rPr>
        <w:t xml:space="preserve">) provides that </w:t>
      </w:r>
      <w:r w:rsidR="00CB4928" w:rsidRPr="00F1588D">
        <w:rPr>
          <w:rFonts w:ascii="Cambria" w:hAnsi="Cambria"/>
          <w:iCs/>
          <w:color w:val="000000" w:themeColor="text1"/>
        </w:rPr>
        <w:t>for indictable offences a person must be informed of the reason for their arrest at the time of the arrest unless it is obvious or not practicable to do so. A similar test applies at common law for summary offences.</w:t>
      </w:r>
      <w:r w:rsidR="00CB4928" w:rsidRPr="00F1588D">
        <w:rPr>
          <w:rStyle w:val="FootnoteReference"/>
          <w:rFonts w:ascii="Cambria" w:hAnsi="Cambria"/>
          <w:iCs/>
          <w:color w:val="000000" w:themeColor="text1"/>
        </w:rPr>
        <w:footnoteReference w:id="14"/>
      </w:r>
      <w:r w:rsidR="00CB4928" w:rsidRPr="00F1588D">
        <w:rPr>
          <w:rFonts w:ascii="Cambria" w:hAnsi="Cambria"/>
          <w:iCs/>
          <w:color w:val="000000" w:themeColor="text1"/>
        </w:rPr>
        <w:t xml:space="preserve"> With the </w:t>
      </w:r>
      <w:r w:rsidR="00A133FB" w:rsidRPr="00F1588D">
        <w:rPr>
          <w:rFonts w:ascii="Cambria" w:hAnsi="Cambria"/>
          <w:iCs/>
          <w:color w:val="000000" w:themeColor="text1"/>
        </w:rPr>
        <w:t>TLRI</w:t>
      </w:r>
      <w:r w:rsidR="00CB4928" w:rsidRPr="00F1588D">
        <w:rPr>
          <w:rFonts w:ascii="Cambria" w:hAnsi="Cambria"/>
          <w:iCs/>
          <w:color w:val="000000" w:themeColor="text1"/>
        </w:rPr>
        <w:t xml:space="preserve"> having found that the test is both unclear and ill-defined</w:t>
      </w:r>
      <w:r w:rsidR="00CB4928" w:rsidRPr="00F1588D">
        <w:rPr>
          <w:rStyle w:val="FootnoteReference"/>
          <w:rFonts w:ascii="Cambria" w:hAnsi="Cambria"/>
          <w:iCs/>
          <w:color w:val="000000" w:themeColor="text1"/>
        </w:rPr>
        <w:footnoteReference w:id="15"/>
      </w:r>
      <w:r w:rsidR="005C2872" w:rsidRPr="00F1588D">
        <w:rPr>
          <w:rFonts w:ascii="Cambria" w:hAnsi="Cambria"/>
          <w:iCs/>
          <w:color w:val="000000" w:themeColor="text1"/>
        </w:rPr>
        <w:t xml:space="preserve"> reform is needed. </w:t>
      </w:r>
      <w:r w:rsidR="00A24E7D" w:rsidRPr="00F1588D">
        <w:rPr>
          <w:rFonts w:ascii="Cambria" w:hAnsi="Cambria"/>
          <w:iCs/>
          <w:color w:val="000000" w:themeColor="text1"/>
        </w:rPr>
        <w:t xml:space="preserve">We do not support the </w:t>
      </w:r>
      <w:r w:rsidR="00A24E7D" w:rsidRPr="00F1588D">
        <w:rPr>
          <w:rFonts w:ascii="Cambria" w:hAnsi="Cambria"/>
          <w:color w:val="000000" w:themeColor="text1"/>
        </w:rPr>
        <w:t xml:space="preserve">proposal papers recommendation that a person is informed of the reasons for their arrest </w:t>
      </w:r>
      <w:r w:rsidR="00A24E7D" w:rsidRPr="00F1588D">
        <w:rPr>
          <w:rFonts w:ascii="Cambria" w:hAnsi="Cambria"/>
          <w:i/>
          <w:iCs/>
          <w:color w:val="000000" w:themeColor="text1"/>
        </w:rPr>
        <w:t>as soon as practicable after their arrest</w:t>
      </w:r>
      <w:r w:rsidR="00A24E7D" w:rsidRPr="00F1588D">
        <w:rPr>
          <w:rFonts w:ascii="Cambria" w:hAnsi="Cambria"/>
          <w:color w:val="000000" w:themeColor="text1"/>
        </w:rPr>
        <w:t>. Instead, w</w:t>
      </w:r>
      <w:r w:rsidR="002157EA" w:rsidRPr="00F1588D">
        <w:rPr>
          <w:rFonts w:ascii="Cambria" w:hAnsi="Cambria"/>
          <w:iCs/>
          <w:color w:val="000000" w:themeColor="text1"/>
        </w:rPr>
        <w:t>e support</w:t>
      </w:r>
      <w:r w:rsidR="005C2872" w:rsidRPr="00F1588D">
        <w:rPr>
          <w:rFonts w:ascii="Cambria" w:hAnsi="Cambria"/>
          <w:iCs/>
          <w:color w:val="000000" w:themeColor="text1"/>
        </w:rPr>
        <w:t xml:space="preserve"> </w:t>
      </w:r>
      <w:r w:rsidR="002157EA" w:rsidRPr="00F1588D">
        <w:rPr>
          <w:rFonts w:ascii="Cambria" w:hAnsi="Cambria"/>
          <w:iCs/>
          <w:color w:val="000000" w:themeColor="text1"/>
        </w:rPr>
        <w:t xml:space="preserve">the </w:t>
      </w:r>
      <w:r w:rsidR="005C2872" w:rsidRPr="00F1588D">
        <w:rPr>
          <w:rFonts w:ascii="Cambria" w:hAnsi="Cambria"/>
          <w:iCs/>
          <w:color w:val="000000" w:themeColor="text1"/>
        </w:rPr>
        <w:t>TLRI recommend</w:t>
      </w:r>
      <w:r w:rsidR="00A24E7D" w:rsidRPr="00F1588D">
        <w:rPr>
          <w:rFonts w:ascii="Cambria" w:hAnsi="Cambria"/>
          <w:iCs/>
          <w:color w:val="000000" w:themeColor="text1"/>
        </w:rPr>
        <w:t>ation</w:t>
      </w:r>
      <w:r w:rsidR="005C2872" w:rsidRPr="00F1588D">
        <w:rPr>
          <w:rFonts w:ascii="Cambria" w:hAnsi="Cambria"/>
          <w:iCs/>
          <w:color w:val="000000" w:themeColor="text1"/>
        </w:rPr>
        <w:t xml:space="preserve"> that police officers inform the other party </w:t>
      </w:r>
      <w:r w:rsidR="005C2872" w:rsidRPr="00F1588D">
        <w:rPr>
          <w:rFonts w:ascii="Cambria" w:hAnsi="Cambria"/>
          <w:i/>
          <w:color w:val="000000" w:themeColor="text1"/>
        </w:rPr>
        <w:t>at the time of the arrest</w:t>
      </w:r>
      <w:r w:rsidR="005C2872" w:rsidRPr="00F1588D">
        <w:rPr>
          <w:rFonts w:ascii="Cambria" w:hAnsi="Cambria"/>
          <w:iCs/>
          <w:color w:val="000000" w:themeColor="text1"/>
        </w:rPr>
        <w:t xml:space="preserve"> why they are being arrested</w:t>
      </w:r>
      <w:r w:rsidR="002157EA" w:rsidRPr="00F1588D">
        <w:rPr>
          <w:rFonts w:ascii="Cambria" w:hAnsi="Cambria"/>
          <w:iCs/>
          <w:color w:val="000000" w:themeColor="text1"/>
        </w:rPr>
        <w:t>.</w:t>
      </w:r>
      <w:r w:rsidR="00A24E7D" w:rsidRPr="00F1588D">
        <w:rPr>
          <w:rStyle w:val="FootnoteReference"/>
          <w:rFonts w:ascii="Cambria" w:hAnsi="Cambria"/>
          <w:iCs/>
          <w:color w:val="000000" w:themeColor="text1"/>
        </w:rPr>
        <w:footnoteReference w:id="16"/>
      </w:r>
      <w:r w:rsidR="002157EA" w:rsidRPr="00F1588D">
        <w:rPr>
          <w:rFonts w:ascii="Cambria" w:hAnsi="Cambria"/>
          <w:iCs/>
          <w:color w:val="000000" w:themeColor="text1"/>
        </w:rPr>
        <w:t xml:space="preserve"> In our experience, an understanding </w:t>
      </w:r>
      <w:r w:rsidR="00A24E7D" w:rsidRPr="00F1588D">
        <w:rPr>
          <w:rFonts w:ascii="Cambria" w:hAnsi="Cambria"/>
          <w:iCs/>
          <w:color w:val="000000" w:themeColor="text1"/>
        </w:rPr>
        <w:t xml:space="preserve">by a person being detained of why they have been detained </w:t>
      </w:r>
      <w:r w:rsidR="002157EA" w:rsidRPr="00F1588D">
        <w:rPr>
          <w:rFonts w:ascii="Cambria" w:hAnsi="Cambria"/>
          <w:iCs/>
          <w:color w:val="000000" w:themeColor="text1"/>
        </w:rPr>
        <w:t>is less likely to result in anger and frustration being expressed</w:t>
      </w:r>
      <w:r w:rsidR="00A24E7D" w:rsidRPr="00F1588D">
        <w:rPr>
          <w:rFonts w:ascii="Cambria" w:hAnsi="Cambria"/>
          <w:iCs/>
          <w:color w:val="000000" w:themeColor="text1"/>
        </w:rPr>
        <w:t xml:space="preserve"> and is also likely to lead to increased transparency by police officers for the making of the arrest. </w:t>
      </w:r>
      <w:r w:rsidR="002157EA" w:rsidRPr="00F1588D">
        <w:rPr>
          <w:rFonts w:ascii="Cambria" w:hAnsi="Cambria"/>
          <w:iCs/>
          <w:color w:val="000000" w:themeColor="text1"/>
        </w:rPr>
        <w:t xml:space="preserve"> </w:t>
      </w:r>
    </w:p>
    <w:p w:rsidR="00857C56" w:rsidRPr="00F1588D" w:rsidRDefault="00857C56" w:rsidP="00F65D4C">
      <w:pPr>
        <w:ind w:right="-347"/>
        <w:jc w:val="both"/>
        <w:rPr>
          <w:rFonts w:ascii="Cambria" w:hAnsi="Cambria"/>
          <w:iCs/>
          <w:color w:val="000000" w:themeColor="text1"/>
        </w:rPr>
      </w:pPr>
    </w:p>
    <w:p w:rsidR="007E7E89" w:rsidRPr="00F1588D" w:rsidRDefault="007E7E89" w:rsidP="007E7E89">
      <w:pPr>
        <w:pStyle w:val="ListParagraph"/>
        <w:numPr>
          <w:ilvl w:val="0"/>
          <w:numId w:val="4"/>
        </w:numPr>
        <w:ind w:right="-347"/>
        <w:jc w:val="both"/>
        <w:rPr>
          <w:rFonts w:ascii="Cambria" w:hAnsi="Cambria"/>
          <w:b/>
          <w:bCs/>
          <w:i/>
          <w:color w:val="000000" w:themeColor="text1"/>
        </w:rPr>
      </w:pPr>
      <w:r w:rsidRPr="00F1588D">
        <w:rPr>
          <w:rFonts w:ascii="Cambria" w:hAnsi="Cambria"/>
          <w:b/>
          <w:bCs/>
          <w:i/>
          <w:color w:val="000000" w:themeColor="text1"/>
        </w:rPr>
        <w:t>Arrest as a last resort</w:t>
      </w:r>
    </w:p>
    <w:p w:rsidR="007E7E89" w:rsidRPr="00F1588D" w:rsidRDefault="007E7E89" w:rsidP="007E7E89">
      <w:pPr>
        <w:shd w:val="clear" w:color="auto" w:fill="FFFFFF"/>
        <w:jc w:val="both"/>
        <w:textAlignment w:val="baseline"/>
        <w:rPr>
          <w:rFonts w:ascii="Cambria" w:hAnsi="Cambria"/>
          <w:color w:val="000000" w:themeColor="text1"/>
        </w:rPr>
      </w:pPr>
      <w:r w:rsidRPr="00F1588D">
        <w:rPr>
          <w:rFonts w:ascii="Cambria" w:hAnsi="Cambria"/>
          <w:color w:val="000000" w:themeColor="text1"/>
        </w:rPr>
        <w:t xml:space="preserve">We strongly believe that arrest must be a last resort. This should be expressly provided in the proposed legislation as was recommended by the </w:t>
      </w:r>
      <w:r w:rsidR="00A133FB" w:rsidRPr="00F1588D">
        <w:rPr>
          <w:rFonts w:ascii="Cambria" w:hAnsi="Cambria"/>
          <w:color w:val="000000" w:themeColor="text1"/>
        </w:rPr>
        <w:t>TLRI</w:t>
      </w:r>
      <w:r w:rsidRPr="00F1588D">
        <w:rPr>
          <w:rFonts w:ascii="Cambria" w:hAnsi="Cambria"/>
          <w:color w:val="000000" w:themeColor="text1"/>
        </w:rPr>
        <w:t>.</w:t>
      </w:r>
      <w:r w:rsidRPr="00F1588D">
        <w:rPr>
          <w:rStyle w:val="FootnoteReference"/>
          <w:rFonts w:ascii="Cambria" w:hAnsi="Cambria"/>
          <w:color w:val="000000" w:themeColor="text1"/>
        </w:rPr>
        <w:footnoteReference w:id="17"/>
      </w:r>
      <w:r w:rsidRPr="00F1588D">
        <w:rPr>
          <w:rFonts w:ascii="Cambria" w:hAnsi="Cambria"/>
          <w:color w:val="000000" w:themeColor="text1"/>
        </w:rPr>
        <w:t xml:space="preserve"> Whilst NSW does not expressly provide that arrest is a last resort, it circumscribes that it may only be exercised when particular circumstances are present:</w:t>
      </w:r>
      <w:r w:rsidRPr="00F1588D">
        <w:rPr>
          <w:rStyle w:val="FootnoteReference"/>
          <w:rFonts w:ascii="Cambria" w:hAnsi="Cambria"/>
          <w:color w:val="000000" w:themeColor="text1"/>
        </w:rPr>
        <w:footnoteReference w:id="18"/>
      </w:r>
    </w:p>
    <w:p w:rsidR="007E7E89" w:rsidRPr="007368DB" w:rsidRDefault="007E7E89" w:rsidP="007E7E89">
      <w:pPr>
        <w:shd w:val="clear" w:color="auto" w:fill="FFFFFF"/>
        <w:textAlignment w:val="baseline"/>
        <w:rPr>
          <w:rFonts w:ascii="Cambria" w:hAnsi="Cambria"/>
          <w:b/>
          <w:bCs/>
          <w:color w:val="000000" w:themeColor="text1"/>
        </w:rPr>
      </w:pPr>
    </w:p>
    <w:p w:rsidR="007E7E89" w:rsidRPr="005D7A6B" w:rsidRDefault="007E7E89" w:rsidP="007E7E89">
      <w:pPr>
        <w:shd w:val="clear" w:color="auto" w:fill="FFFFFF"/>
        <w:ind w:left="720"/>
        <w:textAlignment w:val="baseline"/>
        <w:rPr>
          <w:rFonts w:ascii="Cambria" w:hAnsi="Cambria"/>
          <w:b/>
          <w:bCs/>
          <w:i/>
          <w:iCs/>
          <w:color w:val="000000" w:themeColor="text1"/>
          <w:sz w:val="23"/>
          <w:szCs w:val="23"/>
        </w:rPr>
      </w:pPr>
      <w:r w:rsidRPr="005D7A6B">
        <w:rPr>
          <w:rFonts w:ascii="Cambria" w:hAnsi="Cambria"/>
          <w:b/>
          <w:bCs/>
          <w:i/>
          <w:iCs/>
          <w:color w:val="000000" w:themeColor="text1"/>
          <w:sz w:val="23"/>
          <w:szCs w:val="23"/>
        </w:rPr>
        <w:t>99 Power of police officers to arrest without warrant</w:t>
      </w:r>
    </w:p>
    <w:p w:rsidR="007E7E89" w:rsidRPr="005D7A6B" w:rsidRDefault="007E7E89" w:rsidP="007E7E89">
      <w:pPr>
        <w:shd w:val="clear" w:color="auto" w:fill="FFFFFF"/>
        <w:ind w:left="72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(1) A police officer may, without a warrant, arrest a person if—</w:t>
      </w:r>
    </w:p>
    <w:p w:rsidR="007E7E89" w:rsidRPr="005D7A6B" w:rsidRDefault="007E7E89" w:rsidP="007E7E89">
      <w:pPr>
        <w:shd w:val="clear" w:color="auto" w:fill="FFFFFF"/>
        <w:ind w:left="720"/>
        <w:textAlignment w:val="baseline"/>
        <w:rPr>
          <w:rFonts w:ascii="Cambria" w:hAnsi="Cambria"/>
          <w:i/>
          <w:iCs/>
          <w:color w:val="000000" w:themeColor="text1"/>
          <w:sz w:val="23"/>
          <w:szCs w:val="23"/>
        </w:rPr>
      </w:pPr>
    </w:p>
    <w:p w:rsidR="007E7E89" w:rsidRPr="005D7A6B" w:rsidRDefault="007E7E89" w:rsidP="007E7E89">
      <w:pPr>
        <w:shd w:val="clear" w:color="auto" w:fill="FFFFFF"/>
        <w:ind w:left="144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(a) the police officer suspects on reasonable grounds that the person is committing or has committed an offence, and</w:t>
      </w:r>
    </w:p>
    <w:p w:rsidR="007E7E89" w:rsidRPr="005D7A6B" w:rsidRDefault="007E7E89" w:rsidP="007E7E89">
      <w:pPr>
        <w:shd w:val="clear" w:color="auto" w:fill="FFFFFF"/>
        <w:ind w:left="144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(b)</w:t>
      </w:r>
      <w:r w:rsidR="00161167" w:rsidRPr="005D7A6B">
        <w:rPr>
          <w:rFonts w:ascii="Cambria" w:hAnsi="Cambria"/>
          <w:i/>
          <w:iCs/>
          <w:color w:val="000000" w:themeColor="text1"/>
          <w:sz w:val="23"/>
          <w:szCs w:val="23"/>
        </w:rPr>
        <w:t xml:space="preserve"> </w:t>
      </w:r>
      <w:r w:rsidRPr="005D7A6B">
        <w:rPr>
          <w:rFonts w:ascii="Cambria" w:hAnsi="Cambria"/>
          <w:i/>
          <w:iCs/>
          <w:color w:val="000000" w:themeColor="text1"/>
          <w:sz w:val="23"/>
          <w:szCs w:val="23"/>
        </w:rPr>
        <w:t>the police officer is satisfied that the arrest is reasonably necessary for any one or more of the following reasons—</w:t>
      </w:r>
    </w:p>
    <w:p w:rsidR="007E7E89" w:rsidRPr="005D7A6B" w:rsidRDefault="007E7E89" w:rsidP="007E7E89">
      <w:pPr>
        <w:shd w:val="clear" w:color="auto" w:fill="FFFFFF"/>
        <w:ind w:left="720"/>
        <w:textAlignment w:val="baseline"/>
        <w:rPr>
          <w:rFonts w:ascii="Cambria" w:hAnsi="Cambria"/>
          <w:i/>
          <w:iCs/>
          <w:color w:val="000000" w:themeColor="text1"/>
          <w:sz w:val="23"/>
          <w:szCs w:val="23"/>
        </w:rPr>
      </w:pP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w:t>
      </w:r>
      <w:proofErr w:type="spellStart"/>
      <w:r w:rsidRPr="005D7A6B">
        <w:rPr>
          <w:rFonts w:ascii="Cambria" w:hAnsi="Cambria"/>
          <w:i/>
          <w:iCs/>
          <w:color w:val="000000" w:themeColor="text1"/>
          <w:sz w:val="23"/>
          <w:szCs w:val="23"/>
        </w:rPr>
        <w:t>i</w:t>
      </w:r>
      <w:proofErr w:type="spellEnd"/>
      <w:r w:rsidRPr="005D7A6B">
        <w:rPr>
          <w:rFonts w:ascii="Cambria" w:hAnsi="Cambria"/>
          <w:i/>
          <w:iCs/>
          <w:color w:val="000000" w:themeColor="text1"/>
          <w:sz w:val="23"/>
          <w:szCs w:val="23"/>
        </w:rPr>
        <w:t>)</w:t>
      </w:r>
      <w:r w:rsidR="00161167" w:rsidRPr="005D7A6B">
        <w:rPr>
          <w:rFonts w:ascii="Cambria" w:hAnsi="Cambria"/>
          <w:i/>
          <w:iCs/>
          <w:color w:val="000000" w:themeColor="text1"/>
          <w:sz w:val="23"/>
          <w:szCs w:val="23"/>
        </w:rPr>
        <w:t xml:space="preserve"> </w:t>
      </w:r>
      <w:r w:rsidRPr="005D7A6B">
        <w:rPr>
          <w:rFonts w:ascii="Cambria" w:hAnsi="Cambria"/>
          <w:i/>
          <w:iCs/>
          <w:color w:val="000000" w:themeColor="text1"/>
          <w:sz w:val="23"/>
          <w:szCs w:val="23"/>
        </w:rPr>
        <w:t>to stop the person committing or repeating the offence or committing another offence,</w:t>
      </w: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(ii) to stop the person fleeing from a police officer or from the location of the offence,</w:t>
      </w: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(iii) to enable inquiries to be made to establish the person’s identity if it cannot be readily established or if the police officer suspects on reasonable grounds that identity information provided is false,</w:t>
      </w: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(iv)</w:t>
      </w:r>
      <w:r w:rsidR="00161167" w:rsidRPr="005D7A6B">
        <w:rPr>
          <w:rFonts w:ascii="Cambria" w:hAnsi="Cambria"/>
          <w:i/>
          <w:iCs/>
          <w:color w:val="000000" w:themeColor="text1"/>
          <w:sz w:val="23"/>
          <w:szCs w:val="23"/>
        </w:rPr>
        <w:t xml:space="preserve"> </w:t>
      </w:r>
      <w:r w:rsidRPr="005D7A6B">
        <w:rPr>
          <w:rFonts w:ascii="Cambria" w:hAnsi="Cambria"/>
          <w:i/>
          <w:iCs/>
          <w:color w:val="000000" w:themeColor="text1"/>
          <w:sz w:val="23"/>
          <w:szCs w:val="23"/>
        </w:rPr>
        <w:t>to ensure that the person appears before a court in relation to the offence,</w:t>
      </w: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(v) to obtain property in the possession of the person that is connected with the offence,</w:t>
      </w: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lastRenderedPageBreak/>
        <w:t>(vi) to preserve evidence of the offence or prevent the fabrication of evidence,</w:t>
      </w: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(vii) to prevent the harassment of, or interference with, any person who may give evidence in relation to the offence,</w:t>
      </w:r>
    </w:p>
    <w:p w:rsidR="007E7E89" w:rsidRPr="005D7A6B" w:rsidRDefault="007E7E89" w:rsidP="007E7E89">
      <w:pPr>
        <w:shd w:val="clear" w:color="auto" w:fill="FFFFFF"/>
        <w:ind w:left="216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(viii) to protect the safety or welfare of any person (including the person arrested),</w:t>
      </w:r>
    </w:p>
    <w:p w:rsidR="00161167" w:rsidRPr="005D7A6B" w:rsidRDefault="007E7E89" w:rsidP="00161167">
      <w:pPr>
        <w:shd w:val="clear" w:color="auto" w:fill="FFFFFF"/>
        <w:ind w:left="1440" w:firstLine="720"/>
        <w:textAlignment w:val="baseline"/>
        <w:rPr>
          <w:rFonts w:ascii="Cambria" w:hAnsi="Cambria"/>
          <w:i/>
          <w:iCs/>
          <w:color w:val="000000" w:themeColor="text1"/>
          <w:sz w:val="23"/>
          <w:szCs w:val="23"/>
        </w:rPr>
      </w:pPr>
      <w:r w:rsidRPr="005D7A6B">
        <w:rPr>
          <w:rFonts w:ascii="Cambria" w:hAnsi="Cambria"/>
          <w:i/>
          <w:iCs/>
          <w:color w:val="000000" w:themeColor="text1"/>
          <w:sz w:val="23"/>
          <w:szCs w:val="23"/>
        </w:rPr>
        <w:t>(ix)</w:t>
      </w:r>
      <w:r w:rsidR="00161167" w:rsidRPr="005D7A6B">
        <w:rPr>
          <w:rFonts w:ascii="Cambria" w:hAnsi="Cambria"/>
          <w:i/>
          <w:iCs/>
          <w:color w:val="000000" w:themeColor="text1"/>
          <w:sz w:val="23"/>
          <w:szCs w:val="23"/>
        </w:rPr>
        <w:t xml:space="preserve"> </w:t>
      </w:r>
      <w:r w:rsidRPr="005D7A6B">
        <w:rPr>
          <w:rFonts w:ascii="Cambria" w:hAnsi="Cambria"/>
          <w:i/>
          <w:iCs/>
          <w:color w:val="000000" w:themeColor="text1"/>
          <w:sz w:val="23"/>
          <w:szCs w:val="23"/>
        </w:rPr>
        <w:t>because of the nature and seriousness of the offence.</w:t>
      </w:r>
    </w:p>
    <w:p w:rsidR="00161167" w:rsidRPr="007368DB" w:rsidRDefault="00161167" w:rsidP="007E7E89">
      <w:pPr>
        <w:shd w:val="clear" w:color="auto" w:fill="FFFFFF"/>
        <w:jc w:val="both"/>
        <w:textAlignment w:val="baseline"/>
        <w:rPr>
          <w:rFonts w:ascii="Cambria" w:hAnsi="Cambria"/>
          <w:color w:val="000000" w:themeColor="text1"/>
        </w:rPr>
      </w:pPr>
    </w:p>
    <w:p w:rsidR="00286FBF" w:rsidRPr="007368DB" w:rsidRDefault="00161167" w:rsidP="007E7E89">
      <w:pPr>
        <w:shd w:val="clear" w:color="auto" w:fill="FFFFFF"/>
        <w:jc w:val="both"/>
        <w:textAlignment w:val="baseline"/>
        <w:rPr>
          <w:rFonts w:ascii="Cambria" w:hAnsi="Cambria"/>
          <w:color w:val="000000" w:themeColor="text1"/>
        </w:rPr>
      </w:pPr>
      <w:r w:rsidRPr="007368DB">
        <w:rPr>
          <w:rFonts w:ascii="Cambria" w:hAnsi="Cambria"/>
          <w:color w:val="000000" w:themeColor="text1"/>
        </w:rPr>
        <w:t xml:space="preserve">As well as arrest being a last resort, the </w:t>
      </w:r>
      <w:r w:rsidR="00A133FB">
        <w:rPr>
          <w:rFonts w:ascii="Cambria" w:hAnsi="Cambria"/>
          <w:color w:val="000000" w:themeColor="text1"/>
        </w:rPr>
        <w:t>TLRI</w:t>
      </w:r>
      <w:r w:rsidRPr="007368DB">
        <w:rPr>
          <w:rFonts w:ascii="Cambria" w:hAnsi="Cambria"/>
          <w:color w:val="000000" w:themeColor="text1"/>
        </w:rPr>
        <w:t xml:space="preserve"> emphasised the need for alternatives to arrest</w:t>
      </w:r>
      <w:r w:rsidR="00286FBF" w:rsidRPr="007368DB">
        <w:rPr>
          <w:rFonts w:ascii="Cambria" w:hAnsi="Cambria"/>
          <w:color w:val="000000" w:themeColor="text1"/>
        </w:rPr>
        <w:t xml:space="preserve"> including the introduction of ‘notices to appear’ </w:t>
      </w:r>
      <w:r w:rsidRPr="007368DB">
        <w:rPr>
          <w:rFonts w:ascii="Cambria" w:hAnsi="Cambria"/>
          <w:color w:val="000000" w:themeColor="text1"/>
        </w:rPr>
        <w:t xml:space="preserve">as </w:t>
      </w:r>
      <w:r w:rsidR="00286FBF" w:rsidRPr="007368DB">
        <w:rPr>
          <w:rFonts w:ascii="Cambria" w:hAnsi="Cambria"/>
          <w:color w:val="000000" w:themeColor="text1"/>
        </w:rPr>
        <w:t xml:space="preserve">currently </w:t>
      </w:r>
      <w:r w:rsidRPr="007368DB">
        <w:rPr>
          <w:rFonts w:ascii="Cambria" w:hAnsi="Cambria"/>
          <w:color w:val="000000" w:themeColor="text1"/>
        </w:rPr>
        <w:t>apply in Queensland and the Northern Territory.</w:t>
      </w:r>
      <w:r w:rsidRPr="007368DB">
        <w:rPr>
          <w:rStyle w:val="FootnoteReference"/>
          <w:rFonts w:ascii="Cambria" w:hAnsi="Cambria"/>
          <w:color w:val="000000" w:themeColor="text1"/>
        </w:rPr>
        <w:footnoteReference w:id="19"/>
      </w:r>
      <w:r w:rsidR="00286FBF" w:rsidRPr="007368DB">
        <w:rPr>
          <w:rFonts w:ascii="Cambria" w:hAnsi="Cambria"/>
          <w:color w:val="000000" w:themeColor="text1"/>
        </w:rPr>
        <w:t xml:space="preserve"> </w:t>
      </w:r>
      <w:r w:rsidRPr="007368DB">
        <w:rPr>
          <w:rFonts w:ascii="Cambria" w:hAnsi="Cambria"/>
          <w:color w:val="000000" w:themeColor="text1"/>
        </w:rPr>
        <w:t xml:space="preserve">In those two jurisdictions, where a police officer finds someone committing an offence or believes on reasonable grounds that a person has committed an offence and there is no reason to believe that they will not appear in court to answer a charge, the police officer has the power to issue an on-the-spot attendance notice on that person to appear in court at the time and place specified in the notice. </w:t>
      </w:r>
    </w:p>
    <w:p w:rsidR="00746D57" w:rsidRPr="007368DB" w:rsidRDefault="00746D57" w:rsidP="007E7E89">
      <w:pPr>
        <w:shd w:val="clear" w:color="auto" w:fill="FFFFFF"/>
        <w:jc w:val="both"/>
        <w:textAlignment w:val="baseline"/>
        <w:rPr>
          <w:rFonts w:ascii="Cambria" w:hAnsi="Cambria"/>
          <w:color w:val="000000" w:themeColor="text1"/>
        </w:rPr>
      </w:pPr>
    </w:p>
    <w:p w:rsidR="00286FBF" w:rsidRPr="007368DB" w:rsidRDefault="00286FBF" w:rsidP="007E7E89">
      <w:pPr>
        <w:shd w:val="clear" w:color="auto" w:fill="FFFFFF"/>
        <w:jc w:val="both"/>
        <w:textAlignment w:val="baseline"/>
        <w:rPr>
          <w:rFonts w:ascii="Cambria" w:hAnsi="Cambria"/>
          <w:color w:val="000000" w:themeColor="text1"/>
        </w:rPr>
      </w:pPr>
      <w:r w:rsidRPr="007368DB">
        <w:rPr>
          <w:rFonts w:ascii="Cambria" w:hAnsi="Cambria"/>
          <w:color w:val="000000" w:themeColor="text1"/>
        </w:rPr>
        <w:t>In Tasmania, it is open to police to proceed by summons rather than arrest. However, the summons process is “cumbersome” requiring a complaint to be prepared, and provided to a justice accompanied by an application for a summons.</w:t>
      </w:r>
      <w:r w:rsidRPr="007368DB">
        <w:rPr>
          <w:rStyle w:val="FootnoteReference"/>
          <w:rFonts w:ascii="Cambria" w:hAnsi="Cambria"/>
          <w:color w:val="000000" w:themeColor="text1"/>
        </w:rPr>
        <w:footnoteReference w:id="20"/>
      </w:r>
      <w:r w:rsidR="00C56718" w:rsidRPr="007368DB">
        <w:rPr>
          <w:rFonts w:ascii="Cambria" w:hAnsi="Cambria"/>
          <w:color w:val="000000" w:themeColor="text1"/>
        </w:rPr>
        <w:t xml:space="preserve"> The advantage of a notice to appear as</w:t>
      </w:r>
      <w:r w:rsidRPr="007368DB">
        <w:rPr>
          <w:rFonts w:ascii="Cambria" w:hAnsi="Cambria"/>
          <w:color w:val="000000" w:themeColor="text1"/>
        </w:rPr>
        <w:t xml:space="preserve"> the TLRI </w:t>
      </w:r>
      <w:r w:rsidR="00C56718" w:rsidRPr="007368DB">
        <w:rPr>
          <w:rFonts w:ascii="Cambria" w:hAnsi="Cambria"/>
          <w:color w:val="000000" w:themeColor="text1"/>
        </w:rPr>
        <w:t xml:space="preserve">has </w:t>
      </w:r>
      <w:r w:rsidRPr="007368DB">
        <w:rPr>
          <w:rFonts w:ascii="Cambria" w:hAnsi="Cambria"/>
          <w:color w:val="000000" w:themeColor="text1"/>
        </w:rPr>
        <w:t xml:space="preserve">observed, </w:t>
      </w:r>
      <w:r w:rsidR="00C56718" w:rsidRPr="007368DB">
        <w:rPr>
          <w:rFonts w:ascii="Cambria" w:hAnsi="Cambria"/>
          <w:color w:val="000000" w:themeColor="text1"/>
        </w:rPr>
        <w:t>is that it</w:t>
      </w:r>
      <w:r w:rsidRPr="007368DB">
        <w:rPr>
          <w:rFonts w:ascii="Cambria" w:hAnsi="Cambria"/>
          <w:color w:val="000000" w:themeColor="text1"/>
        </w:rPr>
        <w:t xml:space="preserve"> </w:t>
      </w:r>
      <w:r w:rsidR="00161167" w:rsidRPr="007368DB">
        <w:rPr>
          <w:rFonts w:ascii="Cambria" w:hAnsi="Cambria"/>
          <w:color w:val="000000" w:themeColor="text1"/>
        </w:rPr>
        <w:t>“provides an attractive and less coercive option to police officers… [and]… has the potential to discourage police officers arresting for minor offences and may offer a less cumbersome option than proceeding by way of summons”.</w:t>
      </w:r>
      <w:r w:rsidR="00161167" w:rsidRPr="007368DB">
        <w:rPr>
          <w:rStyle w:val="FootnoteReference"/>
          <w:rFonts w:ascii="Cambria" w:hAnsi="Cambria"/>
          <w:color w:val="000000" w:themeColor="text1"/>
        </w:rPr>
        <w:footnoteReference w:id="21"/>
      </w:r>
      <w:r w:rsidR="00161167" w:rsidRPr="007368DB">
        <w:rPr>
          <w:rFonts w:ascii="Cambria" w:hAnsi="Cambria"/>
          <w:color w:val="000000" w:themeColor="text1"/>
        </w:rPr>
        <w:t xml:space="preserve"> </w:t>
      </w:r>
      <w:r w:rsidRPr="007368DB">
        <w:rPr>
          <w:rFonts w:ascii="Cambria" w:hAnsi="Cambria"/>
          <w:color w:val="000000" w:themeColor="text1"/>
        </w:rPr>
        <w:t xml:space="preserve">We therefore strongly recommend that any broadening of the power to arrest include notices to appear as an alternative to arrest. </w:t>
      </w:r>
    </w:p>
    <w:p w:rsidR="00286FBF" w:rsidRPr="007368DB" w:rsidRDefault="00286FBF" w:rsidP="00286FBF">
      <w:pPr>
        <w:pStyle w:val="xmsonormal"/>
        <w:shd w:val="clear" w:color="auto" w:fill="FFFFFF"/>
        <w:spacing w:before="0" w:beforeAutospacing="0" w:after="0" w:afterAutospacing="0"/>
        <w:jc w:val="both"/>
        <w:rPr>
          <w:rFonts w:ascii="Cambria" w:hAnsi="Cambria"/>
          <w:color w:val="000000" w:themeColor="text1"/>
        </w:rPr>
      </w:pPr>
    </w:p>
    <w:p w:rsidR="00286FBF" w:rsidRPr="007368DB" w:rsidRDefault="00286FBF" w:rsidP="00286FBF">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b/>
          <w:bCs/>
          <w:color w:val="000000" w:themeColor="text1"/>
        </w:rPr>
        <w:t>Recommendation:</w:t>
      </w:r>
      <w:r w:rsidRPr="007368DB">
        <w:rPr>
          <w:rFonts w:ascii="Cambria" w:hAnsi="Cambria"/>
          <w:color w:val="000000" w:themeColor="text1"/>
        </w:rPr>
        <w:t xml:space="preserve"> </w:t>
      </w:r>
      <w:r w:rsidR="00A24E7D" w:rsidRPr="007368DB">
        <w:rPr>
          <w:rFonts w:ascii="Cambria" w:hAnsi="Cambria"/>
          <w:color w:val="000000" w:themeColor="text1"/>
        </w:rPr>
        <w:t xml:space="preserve">That it be expressly provided that  arrest is a last resort and that </w:t>
      </w:r>
      <w:r w:rsidRPr="007368DB">
        <w:rPr>
          <w:rFonts w:ascii="Cambria" w:hAnsi="Cambria"/>
          <w:color w:val="000000" w:themeColor="text1"/>
        </w:rPr>
        <w:t xml:space="preserve">notices to appear </w:t>
      </w:r>
      <w:r w:rsidR="00A24E7D" w:rsidRPr="007368DB">
        <w:rPr>
          <w:rFonts w:ascii="Cambria" w:hAnsi="Cambria"/>
          <w:color w:val="000000" w:themeColor="text1"/>
        </w:rPr>
        <w:t>are</w:t>
      </w:r>
      <w:r w:rsidRPr="007368DB">
        <w:rPr>
          <w:rFonts w:ascii="Cambria" w:hAnsi="Cambria"/>
          <w:color w:val="000000" w:themeColor="text1"/>
        </w:rPr>
        <w:t xml:space="preserve"> introduced as an alternative to arrest. </w:t>
      </w:r>
    </w:p>
    <w:p w:rsidR="00161167" w:rsidRPr="007368DB" w:rsidRDefault="00161167" w:rsidP="007E7E89">
      <w:pPr>
        <w:shd w:val="clear" w:color="auto" w:fill="FFFFFF"/>
        <w:jc w:val="both"/>
        <w:textAlignment w:val="baseline"/>
        <w:rPr>
          <w:rFonts w:ascii="Cambria" w:hAnsi="Cambria"/>
          <w:color w:val="000000" w:themeColor="text1"/>
        </w:rPr>
      </w:pPr>
    </w:p>
    <w:p w:rsidR="007E7E89" w:rsidRPr="007368DB" w:rsidRDefault="007E7E89" w:rsidP="007E7E89">
      <w:pPr>
        <w:shd w:val="clear" w:color="auto" w:fill="FFFFFF"/>
        <w:jc w:val="both"/>
        <w:textAlignment w:val="baseline"/>
        <w:rPr>
          <w:rFonts w:ascii="Cambria" w:hAnsi="Cambria"/>
          <w:color w:val="000000" w:themeColor="text1"/>
        </w:rPr>
      </w:pPr>
      <w:r w:rsidRPr="007368DB">
        <w:rPr>
          <w:rFonts w:ascii="Cambria" w:hAnsi="Cambria"/>
          <w:color w:val="000000" w:themeColor="text1"/>
        </w:rPr>
        <w:t xml:space="preserve">As well as making clear that arrest is a last resort, </w:t>
      </w:r>
      <w:r w:rsidR="00161167" w:rsidRPr="007368DB">
        <w:rPr>
          <w:rFonts w:ascii="Cambria" w:hAnsi="Cambria"/>
          <w:color w:val="000000" w:themeColor="text1"/>
        </w:rPr>
        <w:t xml:space="preserve">and providing </w:t>
      </w:r>
      <w:r w:rsidR="00265650" w:rsidRPr="007368DB">
        <w:rPr>
          <w:rFonts w:ascii="Cambria" w:hAnsi="Cambria"/>
          <w:color w:val="000000" w:themeColor="text1"/>
        </w:rPr>
        <w:t xml:space="preserve">an </w:t>
      </w:r>
      <w:r w:rsidR="00161167" w:rsidRPr="007368DB">
        <w:rPr>
          <w:rFonts w:ascii="Cambria" w:hAnsi="Cambria"/>
          <w:color w:val="000000" w:themeColor="text1"/>
        </w:rPr>
        <w:t xml:space="preserve">alternative to arrest, </w:t>
      </w:r>
      <w:r w:rsidRPr="007368DB">
        <w:rPr>
          <w:rFonts w:ascii="Cambria" w:hAnsi="Cambria"/>
          <w:color w:val="000000" w:themeColor="text1"/>
        </w:rPr>
        <w:t>any proposed law reform which broadens the power to arrest without warrant must include safeguards, including a requirement that in arresting a person police officer must provide evidence that they are a police officer, the police officer’s name and the reason for the arrest. A good model is found in the NSW Act:</w:t>
      </w:r>
      <w:r w:rsidRPr="007368DB">
        <w:rPr>
          <w:rStyle w:val="FootnoteReference"/>
          <w:rFonts w:ascii="Cambria" w:hAnsi="Cambria"/>
          <w:color w:val="000000" w:themeColor="text1"/>
        </w:rPr>
        <w:footnoteReference w:id="22"/>
      </w:r>
    </w:p>
    <w:p w:rsidR="007E7E89" w:rsidRPr="007368DB" w:rsidRDefault="007E7E89" w:rsidP="007E7E89">
      <w:pPr>
        <w:pStyle w:val="ListParagraph"/>
        <w:shd w:val="clear" w:color="auto" w:fill="FFFFFF"/>
        <w:textAlignment w:val="baseline"/>
        <w:rPr>
          <w:rFonts w:ascii="Cambria" w:hAnsi="Cambria"/>
          <w:color w:val="000000" w:themeColor="text1"/>
        </w:rPr>
      </w:pPr>
      <w:r w:rsidRPr="007368DB">
        <w:rPr>
          <w:rFonts w:ascii="Cambria" w:hAnsi="Cambria"/>
          <w:color w:val="000000" w:themeColor="text1"/>
        </w:rPr>
        <w:t> </w:t>
      </w:r>
    </w:p>
    <w:p w:rsidR="007E7E89" w:rsidRPr="007368DB" w:rsidRDefault="007E7E89" w:rsidP="007E7E89">
      <w:pPr>
        <w:pStyle w:val="ListParagraph"/>
        <w:shd w:val="clear" w:color="auto" w:fill="FFFFFF"/>
        <w:textAlignment w:val="baseline"/>
        <w:rPr>
          <w:rFonts w:ascii="Cambria" w:hAnsi="Cambria"/>
          <w:b/>
          <w:bCs/>
          <w:i/>
          <w:iCs/>
          <w:color w:val="000000" w:themeColor="text1"/>
          <w:sz w:val="23"/>
          <w:szCs w:val="23"/>
        </w:rPr>
      </w:pPr>
      <w:r w:rsidRPr="007368DB">
        <w:rPr>
          <w:rFonts w:ascii="Cambria" w:hAnsi="Cambria"/>
          <w:b/>
          <w:bCs/>
          <w:i/>
          <w:iCs/>
          <w:color w:val="000000" w:themeColor="text1"/>
          <w:sz w:val="23"/>
          <w:szCs w:val="23"/>
        </w:rPr>
        <w:t>202 Police officers to provide information when exercising powers</w:t>
      </w:r>
    </w:p>
    <w:p w:rsidR="007E7E89" w:rsidRPr="007368DB" w:rsidRDefault="007E7E89" w:rsidP="007E7E89">
      <w:pPr>
        <w:pStyle w:val="ListParagraph"/>
        <w:shd w:val="clear" w:color="auto" w:fill="FFFFFF"/>
        <w:textAlignment w:val="baseline"/>
        <w:rPr>
          <w:rFonts w:ascii="Cambria" w:hAnsi="Cambria"/>
          <w:i/>
          <w:iCs/>
          <w:color w:val="000000" w:themeColor="text1"/>
          <w:sz w:val="23"/>
          <w:szCs w:val="23"/>
        </w:rPr>
      </w:pPr>
      <w:r w:rsidRPr="007368DB">
        <w:rPr>
          <w:rFonts w:ascii="Cambria" w:hAnsi="Cambria"/>
          <w:i/>
          <w:iCs/>
          <w:color w:val="000000" w:themeColor="text1"/>
          <w:sz w:val="23"/>
          <w:szCs w:val="23"/>
        </w:rPr>
        <w:t>(1) A police officer who exercises a power to which this Part applies must provide the following to the person subject to the exercise of the power—</w:t>
      </w:r>
    </w:p>
    <w:p w:rsidR="007E7E89" w:rsidRPr="007368DB" w:rsidRDefault="007E7E89" w:rsidP="007E7E89">
      <w:pPr>
        <w:pStyle w:val="ListParagraph"/>
        <w:shd w:val="clear" w:color="auto" w:fill="FFFFFF"/>
        <w:ind w:left="1440"/>
        <w:textAlignment w:val="baseline"/>
        <w:rPr>
          <w:rFonts w:ascii="Cambria" w:hAnsi="Cambria"/>
          <w:i/>
          <w:iCs/>
          <w:color w:val="000000" w:themeColor="text1"/>
          <w:sz w:val="23"/>
          <w:szCs w:val="23"/>
        </w:rPr>
      </w:pPr>
      <w:r w:rsidRPr="007368DB">
        <w:rPr>
          <w:rFonts w:ascii="Cambria" w:hAnsi="Cambria"/>
          <w:i/>
          <w:iCs/>
          <w:color w:val="000000" w:themeColor="text1"/>
          <w:sz w:val="23"/>
          <w:szCs w:val="23"/>
        </w:rPr>
        <w:t>(a) evidence that the police officer is a police officer (unless the police officer is in uniform),</w:t>
      </w:r>
    </w:p>
    <w:p w:rsidR="007E7E89" w:rsidRPr="007368DB" w:rsidRDefault="007E7E89" w:rsidP="007E7E89">
      <w:pPr>
        <w:pStyle w:val="ListParagraph"/>
        <w:shd w:val="clear" w:color="auto" w:fill="FFFFFF"/>
        <w:ind w:firstLine="720"/>
        <w:textAlignment w:val="baseline"/>
        <w:rPr>
          <w:rFonts w:ascii="Cambria" w:hAnsi="Cambria"/>
          <w:i/>
          <w:iCs/>
          <w:color w:val="000000" w:themeColor="text1"/>
          <w:sz w:val="23"/>
          <w:szCs w:val="23"/>
        </w:rPr>
      </w:pPr>
      <w:r w:rsidRPr="007368DB">
        <w:rPr>
          <w:rFonts w:ascii="Cambria" w:hAnsi="Cambria"/>
          <w:i/>
          <w:iCs/>
          <w:color w:val="000000" w:themeColor="text1"/>
          <w:sz w:val="23"/>
          <w:szCs w:val="23"/>
        </w:rPr>
        <w:t>(b) the name of the police officer and his or her place of duty,</w:t>
      </w:r>
    </w:p>
    <w:p w:rsidR="007E7E89" w:rsidRPr="007368DB" w:rsidRDefault="007E7E89" w:rsidP="007E7E89">
      <w:pPr>
        <w:pStyle w:val="ListParagraph"/>
        <w:shd w:val="clear" w:color="auto" w:fill="FFFFFF"/>
        <w:ind w:firstLine="720"/>
        <w:textAlignment w:val="baseline"/>
        <w:rPr>
          <w:rFonts w:ascii="Cambria" w:hAnsi="Cambria"/>
          <w:i/>
          <w:iCs/>
          <w:color w:val="000000" w:themeColor="text1"/>
          <w:sz w:val="23"/>
          <w:szCs w:val="23"/>
        </w:rPr>
      </w:pPr>
      <w:r w:rsidRPr="007368DB">
        <w:rPr>
          <w:rFonts w:ascii="Cambria" w:hAnsi="Cambria"/>
          <w:i/>
          <w:iCs/>
          <w:color w:val="000000" w:themeColor="text1"/>
          <w:sz w:val="23"/>
          <w:szCs w:val="23"/>
        </w:rPr>
        <w:t>(c) the reason for the exercise of the power.</w:t>
      </w:r>
    </w:p>
    <w:p w:rsidR="007E7E89" w:rsidRDefault="007E7E89" w:rsidP="00F65D4C">
      <w:pPr>
        <w:ind w:right="-347"/>
        <w:jc w:val="both"/>
        <w:rPr>
          <w:rFonts w:ascii="Cambria" w:hAnsi="Cambria"/>
          <w:iCs/>
          <w:color w:val="000000" w:themeColor="text1"/>
        </w:rPr>
      </w:pPr>
    </w:p>
    <w:p w:rsidR="00A133FB" w:rsidRPr="007368DB" w:rsidRDefault="00A133FB" w:rsidP="00F65D4C">
      <w:pPr>
        <w:ind w:right="-347"/>
        <w:jc w:val="both"/>
        <w:rPr>
          <w:rFonts w:ascii="Cambria" w:hAnsi="Cambria"/>
          <w:iCs/>
          <w:color w:val="000000" w:themeColor="text1"/>
        </w:rPr>
      </w:pPr>
    </w:p>
    <w:p w:rsidR="00857C56" w:rsidRPr="007368DB" w:rsidRDefault="00857C56" w:rsidP="00E679E7">
      <w:pPr>
        <w:pStyle w:val="xmsonormal"/>
        <w:numPr>
          <w:ilvl w:val="0"/>
          <w:numId w:val="4"/>
        </w:numPr>
        <w:shd w:val="clear" w:color="auto" w:fill="FFFFFF"/>
        <w:spacing w:before="0" w:beforeAutospacing="0" w:after="0" w:afterAutospacing="0"/>
        <w:rPr>
          <w:rFonts w:ascii="Cambria" w:hAnsi="Cambria"/>
          <w:b/>
          <w:bCs/>
          <w:i/>
          <w:iCs/>
          <w:color w:val="000000" w:themeColor="text1"/>
        </w:rPr>
      </w:pPr>
      <w:r w:rsidRPr="007368DB">
        <w:rPr>
          <w:rFonts w:ascii="Cambria" w:hAnsi="Cambria"/>
          <w:b/>
          <w:bCs/>
          <w:i/>
          <w:iCs/>
          <w:color w:val="000000" w:themeColor="text1"/>
        </w:rPr>
        <w:lastRenderedPageBreak/>
        <w:t>Reasonable belief</w:t>
      </w:r>
    </w:p>
    <w:p w:rsidR="00857C56" w:rsidRPr="007368DB" w:rsidRDefault="00857C56" w:rsidP="00857C56">
      <w:pPr>
        <w:pStyle w:val="xmsonormal"/>
        <w:shd w:val="clear" w:color="auto" w:fill="FFFFFF"/>
        <w:spacing w:before="0" w:beforeAutospacing="0" w:after="0" w:afterAutospacing="0"/>
        <w:jc w:val="both"/>
        <w:rPr>
          <w:rFonts w:ascii="Cambria" w:hAnsi="Cambria"/>
          <w:color w:val="000000" w:themeColor="text1"/>
        </w:rPr>
      </w:pPr>
      <w:r w:rsidRPr="007368DB">
        <w:rPr>
          <w:rFonts w:ascii="Cambria" w:hAnsi="Cambria"/>
          <w:color w:val="000000" w:themeColor="text1"/>
        </w:rPr>
        <w:t xml:space="preserve">The High Court case of </w:t>
      </w:r>
      <w:r w:rsidRPr="007368DB">
        <w:rPr>
          <w:rFonts w:ascii="Cambria" w:hAnsi="Cambria"/>
          <w:i/>
          <w:iCs/>
          <w:color w:val="000000" w:themeColor="text1"/>
        </w:rPr>
        <w:t xml:space="preserve">George v </w:t>
      </w:r>
      <w:proofErr w:type="spellStart"/>
      <w:r w:rsidRPr="007368DB">
        <w:rPr>
          <w:rFonts w:ascii="Cambria" w:hAnsi="Cambria"/>
          <w:i/>
          <w:iCs/>
          <w:color w:val="000000" w:themeColor="text1"/>
        </w:rPr>
        <w:t>Rockett</w:t>
      </w:r>
      <w:proofErr w:type="spellEnd"/>
      <w:r w:rsidRPr="007368DB">
        <w:rPr>
          <w:rFonts w:ascii="Cambria" w:hAnsi="Cambria"/>
          <w:color w:val="000000" w:themeColor="text1"/>
        </w:rPr>
        <w:t xml:space="preserve"> considered the difference between ‘reasonable belief’ and ‘reasonable suspicion’. The High Court found that the standard of ‘reasonable belief’ required a higher level of certainty than a ‘reasonable suspicion’:</w:t>
      </w:r>
      <w:r w:rsidRPr="007368DB">
        <w:rPr>
          <w:rStyle w:val="FootnoteReference"/>
          <w:rFonts w:ascii="Cambria" w:hAnsi="Cambria"/>
          <w:color w:val="000000" w:themeColor="text1"/>
        </w:rPr>
        <w:footnoteReference w:id="23"/>
      </w:r>
      <w:r w:rsidRPr="007368DB">
        <w:rPr>
          <w:rFonts w:ascii="Cambria" w:hAnsi="Cambria"/>
          <w:color w:val="000000" w:themeColor="text1"/>
        </w:rPr>
        <w:t xml:space="preserve"> </w:t>
      </w:r>
    </w:p>
    <w:p w:rsidR="00857C56" w:rsidRPr="007368DB" w:rsidRDefault="00857C56" w:rsidP="00857C56">
      <w:pPr>
        <w:pStyle w:val="xmsonormal"/>
        <w:shd w:val="clear" w:color="auto" w:fill="FFFFFF"/>
        <w:spacing w:before="0" w:beforeAutospacing="0" w:after="0" w:afterAutospacing="0"/>
        <w:rPr>
          <w:rFonts w:ascii="Cambria" w:hAnsi="Cambria"/>
          <w:color w:val="000000" w:themeColor="text1"/>
        </w:rPr>
      </w:pPr>
    </w:p>
    <w:p w:rsidR="00857C56" w:rsidRPr="005D7A6B" w:rsidRDefault="00857C56" w:rsidP="00857C56">
      <w:pPr>
        <w:pStyle w:val="xmsonormal"/>
        <w:shd w:val="clear" w:color="auto" w:fill="FFFFFF"/>
        <w:spacing w:before="0" w:beforeAutospacing="0" w:after="0" w:afterAutospacing="0"/>
        <w:ind w:left="1440"/>
        <w:rPr>
          <w:rFonts w:ascii="Cambria" w:hAnsi="Cambria"/>
          <w:i/>
          <w:iCs/>
          <w:color w:val="000000" w:themeColor="text1"/>
          <w:sz w:val="23"/>
          <w:szCs w:val="23"/>
        </w:rPr>
      </w:pPr>
      <w:r w:rsidRPr="005D7A6B">
        <w:rPr>
          <w:rFonts w:ascii="Cambria" w:hAnsi="Cambria"/>
          <w:i/>
          <w:iCs/>
          <w:color w:val="000000" w:themeColor="text1"/>
          <w:sz w:val="23"/>
          <w:szCs w:val="23"/>
        </w:rPr>
        <w:t xml:space="preserve">Suspicion, as Lord Devlin said in </w:t>
      </w:r>
      <w:proofErr w:type="spellStart"/>
      <w:r w:rsidRPr="005D7A6B">
        <w:rPr>
          <w:rFonts w:ascii="Cambria" w:hAnsi="Cambria"/>
          <w:i/>
          <w:iCs/>
          <w:color w:val="000000" w:themeColor="text1"/>
          <w:sz w:val="23"/>
          <w:szCs w:val="23"/>
        </w:rPr>
        <w:t>Hussien</w:t>
      </w:r>
      <w:proofErr w:type="spellEnd"/>
      <w:r w:rsidRPr="005D7A6B">
        <w:rPr>
          <w:rFonts w:ascii="Cambria" w:hAnsi="Cambria"/>
          <w:i/>
          <w:iCs/>
          <w:color w:val="000000" w:themeColor="text1"/>
          <w:sz w:val="23"/>
          <w:szCs w:val="23"/>
        </w:rPr>
        <w:t xml:space="preserve"> v Chong Fook Kam [1970] AC 942 at 948, “in its ordinary meaning is a state of conjecture or surmise where proof is lacking: ‘I suspect but I cannot prove.’” The facts which can reasonably ground a suspicion may be quite insufficient reasonably to ground a belief...</w:t>
      </w:r>
    </w:p>
    <w:p w:rsidR="00857C56" w:rsidRPr="007368DB" w:rsidRDefault="00857C56" w:rsidP="00857C56">
      <w:pPr>
        <w:pStyle w:val="xmsonormal"/>
        <w:shd w:val="clear" w:color="auto" w:fill="FFFFFF"/>
        <w:spacing w:before="0" w:beforeAutospacing="0" w:after="0" w:afterAutospacing="0"/>
        <w:jc w:val="both"/>
        <w:rPr>
          <w:rFonts w:ascii="Cambria" w:hAnsi="Cambria"/>
          <w:color w:val="000000" w:themeColor="text1"/>
        </w:rPr>
      </w:pPr>
    </w:p>
    <w:p w:rsidR="00857C56" w:rsidRPr="007368DB" w:rsidRDefault="00857C56" w:rsidP="00857C56">
      <w:pPr>
        <w:pStyle w:val="xmsonormal"/>
        <w:shd w:val="clear" w:color="auto" w:fill="FFFFFF"/>
        <w:spacing w:before="0" w:beforeAutospacing="0" w:after="0" w:afterAutospacing="0"/>
        <w:jc w:val="both"/>
        <w:rPr>
          <w:rFonts w:ascii="Cambria" w:hAnsi="Cambria"/>
          <w:color w:val="000000" w:themeColor="text1"/>
        </w:rPr>
      </w:pPr>
      <w:r w:rsidRPr="007368DB">
        <w:rPr>
          <w:rFonts w:ascii="Cambria" w:hAnsi="Cambria"/>
          <w:color w:val="000000" w:themeColor="text1"/>
        </w:rPr>
        <w:t xml:space="preserve">Expressed in another way, the High Court found that different states of mind are required for suspicion and belief with suspicion more easily achieved than belief. </w:t>
      </w:r>
    </w:p>
    <w:p w:rsidR="00857C56" w:rsidRPr="007368DB" w:rsidRDefault="00857C56" w:rsidP="00857C56">
      <w:pPr>
        <w:pStyle w:val="xmsonormal"/>
        <w:shd w:val="clear" w:color="auto" w:fill="FFFFFF"/>
        <w:spacing w:before="0" w:beforeAutospacing="0" w:after="0" w:afterAutospacing="0"/>
        <w:jc w:val="both"/>
        <w:rPr>
          <w:rFonts w:ascii="Cambria" w:hAnsi="Cambria"/>
          <w:color w:val="000000" w:themeColor="text1"/>
        </w:rPr>
      </w:pPr>
    </w:p>
    <w:p w:rsidR="00857C56" w:rsidRPr="007368DB" w:rsidRDefault="00857C56" w:rsidP="00857C56">
      <w:pPr>
        <w:pStyle w:val="xmsonormal"/>
        <w:shd w:val="clear" w:color="auto" w:fill="FFFFFF"/>
        <w:spacing w:before="0" w:beforeAutospacing="0" w:after="0" w:afterAutospacing="0"/>
        <w:jc w:val="both"/>
        <w:rPr>
          <w:rFonts w:ascii="Cambria" w:hAnsi="Cambria"/>
          <w:color w:val="000000" w:themeColor="text1"/>
        </w:rPr>
      </w:pPr>
      <w:r w:rsidRPr="007368DB">
        <w:rPr>
          <w:rFonts w:ascii="Cambria" w:hAnsi="Cambria"/>
          <w:color w:val="000000" w:themeColor="text1"/>
        </w:rPr>
        <w:t>We strongly support the proposal papers recommendation that arrest powers require the higher standard of ‘reasonable belief’ “because it sets a higher threshold for the application of coercive powers and incursions on the right to liberty”.</w:t>
      </w:r>
      <w:r w:rsidRPr="007368DB">
        <w:rPr>
          <w:rStyle w:val="FootnoteReference"/>
          <w:rFonts w:ascii="Cambria" w:hAnsi="Cambria"/>
          <w:color w:val="000000" w:themeColor="text1"/>
        </w:rPr>
        <w:footnoteReference w:id="24"/>
      </w:r>
      <w:r w:rsidRPr="007368DB">
        <w:rPr>
          <w:rFonts w:ascii="Cambria" w:hAnsi="Cambria"/>
          <w:color w:val="000000" w:themeColor="text1"/>
        </w:rPr>
        <w:t xml:space="preserve"> We agree with the TLRI that the higher standard of reasonable belief should apply to arrest powers. The reason that a higher standard should apply before persons are searched is because it interferes with the right of people to be free to go about their daily lives without interference. We are concerned that lowering the standard will disproportionately impact persons based on their age, race or appearance. </w:t>
      </w:r>
    </w:p>
    <w:p w:rsidR="00857C56" w:rsidRPr="007368DB" w:rsidRDefault="00857C56" w:rsidP="00857C56">
      <w:pPr>
        <w:pStyle w:val="xmsonormal"/>
        <w:shd w:val="clear" w:color="auto" w:fill="FFFFFF"/>
        <w:spacing w:before="0" w:beforeAutospacing="0" w:after="0" w:afterAutospacing="0"/>
        <w:jc w:val="both"/>
        <w:rPr>
          <w:rFonts w:ascii="Cambria" w:hAnsi="Cambria"/>
          <w:color w:val="000000" w:themeColor="text1"/>
        </w:rPr>
      </w:pPr>
    </w:p>
    <w:p w:rsidR="00857C56" w:rsidRPr="007368DB" w:rsidRDefault="00857C56" w:rsidP="00857C56">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b/>
          <w:bCs/>
          <w:color w:val="000000" w:themeColor="text1"/>
        </w:rPr>
        <w:t>Recommendation:</w:t>
      </w:r>
      <w:r w:rsidRPr="007368DB">
        <w:rPr>
          <w:rFonts w:ascii="Cambria" w:hAnsi="Cambria"/>
          <w:color w:val="000000" w:themeColor="text1"/>
        </w:rPr>
        <w:t xml:space="preserve"> That ‘reasonably believe’ continue to be the standard required of police officers</w:t>
      </w:r>
      <w:r w:rsidR="00A133FB">
        <w:rPr>
          <w:rFonts w:ascii="Cambria" w:hAnsi="Cambria"/>
          <w:color w:val="000000" w:themeColor="text1"/>
        </w:rPr>
        <w:t xml:space="preserve"> when arresting</w:t>
      </w:r>
      <w:r w:rsidRPr="007368DB">
        <w:rPr>
          <w:rFonts w:ascii="Cambria" w:hAnsi="Cambria"/>
          <w:color w:val="000000" w:themeColor="text1"/>
        </w:rPr>
        <w:t xml:space="preserve">. </w:t>
      </w:r>
    </w:p>
    <w:p w:rsidR="00857C56" w:rsidRPr="007368DB" w:rsidRDefault="00857C56" w:rsidP="00857C56">
      <w:pPr>
        <w:pStyle w:val="xmsonormal"/>
        <w:shd w:val="clear" w:color="auto" w:fill="FFFFFF"/>
        <w:spacing w:before="0" w:beforeAutospacing="0" w:after="0" w:afterAutospacing="0"/>
        <w:jc w:val="both"/>
        <w:rPr>
          <w:rFonts w:ascii="Cambria" w:hAnsi="Cambria"/>
          <w:color w:val="000000" w:themeColor="text1"/>
        </w:rPr>
      </w:pPr>
    </w:p>
    <w:p w:rsidR="00356676" w:rsidRPr="007368DB" w:rsidRDefault="00356676" w:rsidP="00356676">
      <w:pPr>
        <w:pStyle w:val="ListParagraph"/>
        <w:numPr>
          <w:ilvl w:val="0"/>
          <w:numId w:val="1"/>
        </w:numPr>
        <w:ind w:right="-347"/>
        <w:jc w:val="both"/>
        <w:rPr>
          <w:rFonts w:ascii="Cambria" w:hAnsi="Cambria"/>
          <w:b/>
          <w:bCs/>
          <w:i/>
          <w:iCs/>
          <w:color w:val="000000" w:themeColor="text1"/>
        </w:rPr>
      </w:pPr>
      <w:r w:rsidRPr="007368DB">
        <w:rPr>
          <w:rFonts w:ascii="Cambria" w:hAnsi="Cambria"/>
          <w:b/>
          <w:bCs/>
          <w:i/>
          <w:iCs/>
          <w:color w:val="000000" w:themeColor="text1"/>
        </w:rPr>
        <w:t>The use of force</w:t>
      </w:r>
    </w:p>
    <w:p w:rsidR="00356676" w:rsidRPr="007368DB" w:rsidRDefault="00356676" w:rsidP="00356676">
      <w:pPr>
        <w:ind w:right="-347"/>
        <w:jc w:val="both"/>
        <w:rPr>
          <w:rFonts w:ascii="Cambria" w:hAnsi="Cambria"/>
          <w:color w:val="000000" w:themeColor="text1"/>
        </w:rPr>
      </w:pPr>
      <w:r w:rsidRPr="007368DB">
        <w:rPr>
          <w:rFonts w:ascii="Cambria" w:hAnsi="Cambria"/>
          <w:color w:val="000000" w:themeColor="text1"/>
        </w:rPr>
        <w:t>At common law it is well established that reasonable force may be used to execute an arrest, necessary and reasonable force can be used to prevent an unlawful arrest and persons who resist arrest do not commit an offence if they reasonably believe that the person executing the arrest is not a police officer.</w:t>
      </w:r>
      <w:r w:rsidRPr="007368DB">
        <w:rPr>
          <w:rStyle w:val="FootnoteReference"/>
          <w:rFonts w:ascii="Cambria" w:hAnsi="Cambria"/>
          <w:color w:val="000000" w:themeColor="text1"/>
        </w:rPr>
        <w:footnoteReference w:id="25"/>
      </w:r>
      <w:r w:rsidRPr="007368DB">
        <w:rPr>
          <w:rFonts w:ascii="Cambria" w:hAnsi="Cambria"/>
          <w:color w:val="000000" w:themeColor="text1"/>
        </w:rPr>
        <w:t xml:space="preserve"> The common law position is codified in four separate sections of the </w:t>
      </w:r>
      <w:r w:rsidRPr="007368DB">
        <w:rPr>
          <w:rFonts w:ascii="Cambria" w:hAnsi="Cambria"/>
          <w:i/>
          <w:iCs/>
          <w:color w:val="000000" w:themeColor="text1"/>
        </w:rPr>
        <w:t>Criminal Code Act 1924</w:t>
      </w:r>
      <w:r w:rsidRPr="007368DB">
        <w:rPr>
          <w:rFonts w:ascii="Cambria" w:hAnsi="Cambria"/>
          <w:color w:val="000000" w:themeColor="text1"/>
        </w:rPr>
        <w:t xml:space="preserve"> (Tas).</w:t>
      </w:r>
      <w:r w:rsidRPr="007368DB">
        <w:rPr>
          <w:rStyle w:val="FootnoteReference"/>
          <w:rFonts w:ascii="Cambria" w:hAnsi="Cambria"/>
          <w:color w:val="000000" w:themeColor="text1"/>
        </w:rPr>
        <w:footnoteReference w:id="26"/>
      </w:r>
      <w:r w:rsidRPr="007368DB">
        <w:rPr>
          <w:rFonts w:ascii="Cambria" w:hAnsi="Cambria"/>
          <w:color w:val="000000" w:themeColor="text1"/>
        </w:rPr>
        <w:t xml:space="preserve"> However, as the </w:t>
      </w:r>
      <w:r w:rsidR="00A133FB">
        <w:rPr>
          <w:rFonts w:ascii="Cambria" w:hAnsi="Cambria"/>
          <w:color w:val="000000" w:themeColor="text1"/>
        </w:rPr>
        <w:t>TLRI</w:t>
      </w:r>
      <w:r w:rsidRPr="007368DB">
        <w:rPr>
          <w:rFonts w:ascii="Cambria" w:hAnsi="Cambria"/>
          <w:color w:val="000000" w:themeColor="text1"/>
        </w:rPr>
        <w:t xml:space="preserve"> has observed, the Tasmanian provisions are “unnecessarily complicated”</w:t>
      </w:r>
      <w:r w:rsidRPr="007368DB">
        <w:rPr>
          <w:rStyle w:val="FootnoteReference"/>
          <w:rFonts w:ascii="Cambria" w:hAnsi="Cambria"/>
          <w:color w:val="000000" w:themeColor="text1"/>
        </w:rPr>
        <w:footnoteReference w:id="27"/>
      </w:r>
      <w:r w:rsidRPr="007368DB">
        <w:rPr>
          <w:rFonts w:ascii="Cambria" w:hAnsi="Cambria"/>
          <w:color w:val="000000" w:themeColor="text1"/>
        </w:rPr>
        <w:t xml:space="preserve"> when it is acknowledged that some other jurisdictions cover the field in one discrete provision.</w:t>
      </w:r>
      <w:r w:rsidRPr="007368DB">
        <w:rPr>
          <w:rStyle w:val="FootnoteReference"/>
          <w:rFonts w:ascii="Cambria" w:hAnsi="Cambria"/>
          <w:color w:val="000000" w:themeColor="text1"/>
        </w:rPr>
        <w:footnoteReference w:id="28"/>
      </w:r>
      <w:r w:rsidRPr="007368DB">
        <w:rPr>
          <w:rFonts w:ascii="Cambria" w:hAnsi="Cambria"/>
          <w:color w:val="000000" w:themeColor="text1"/>
        </w:rPr>
        <w:t xml:space="preserve"> We support the proposal papers recommendation that the use of force in arrest powers be set out in one provision.</w:t>
      </w:r>
    </w:p>
    <w:p w:rsidR="00356676" w:rsidRPr="007368DB" w:rsidRDefault="00356676" w:rsidP="00356676">
      <w:pPr>
        <w:ind w:right="-347"/>
        <w:jc w:val="both"/>
        <w:rPr>
          <w:rFonts w:ascii="Cambria" w:hAnsi="Cambria"/>
          <w:color w:val="000000" w:themeColor="text1"/>
        </w:rPr>
      </w:pPr>
    </w:p>
    <w:p w:rsidR="00356676" w:rsidRPr="007368DB" w:rsidRDefault="00356676" w:rsidP="00356676">
      <w:pPr>
        <w:ind w:right="-347"/>
        <w:jc w:val="both"/>
        <w:rPr>
          <w:rFonts w:ascii="Cambria" w:hAnsi="Cambria"/>
          <w:color w:val="000000" w:themeColor="text1"/>
        </w:rPr>
      </w:pPr>
      <w:r w:rsidRPr="007368DB">
        <w:rPr>
          <w:rFonts w:ascii="Cambria" w:hAnsi="Cambria"/>
          <w:color w:val="000000" w:themeColor="text1"/>
        </w:rPr>
        <w:t xml:space="preserve">It is also critical that the use of force in effecting an arrest is proportionate. In other words, the use of force and the amount of force used be assessed according to the seriousness of the offence for which the suspect is sought to be apprehended and other factors justifying the arrest. Whilst the </w:t>
      </w:r>
      <w:r w:rsidRPr="007368DB">
        <w:rPr>
          <w:rFonts w:ascii="Cambria" w:hAnsi="Cambria"/>
          <w:i/>
          <w:iCs/>
          <w:color w:val="000000" w:themeColor="text1"/>
        </w:rPr>
        <w:t>Criminal Code Act 1924</w:t>
      </w:r>
      <w:r w:rsidRPr="007368DB">
        <w:rPr>
          <w:rFonts w:ascii="Cambria" w:hAnsi="Cambria"/>
          <w:color w:val="000000" w:themeColor="text1"/>
        </w:rPr>
        <w:t xml:space="preserve"> (Tas) does not limit the use of force in making an arrest, both the Commonwealth and Victorian </w:t>
      </w:r>
      <w:r w:rsidRPr="007368DB">
        <w:rPr>
          <w:rFonts w:ascii="Cambria" w:hAnsi="Cambria"/>
          <w:i/>
          <w:iCs/>
          <w:color w:val="000000" w:themeColor="text1"/>
        </w:rPr>
        <w:t>Crimes Acts</w:t>
      </w:r>
      <w:r w:rsidRPr="007368DB">
        <w:rPr>
          <w:rFonts w:ascii="Cambria" w:hAnsi="Cambria"/>
          <w:color w:val="000000" w:themeColor="text1"/>
        </w:rPr>
        <w:t xml:space="preserve"> expressly recognise the principle of proportionality.</w:t>
      </w:r>
      <w:r w:rsidRPr="007368DB">
        <w:rPr>
          <w:rStyle w:val="FootnoteReference"/>
          <w:rFonts w:ascii="Cambria" w:hAnsi="Cambria"/>
          <w:color w:val="000000" w:themeColor="text1"/>
        </w:rPr>
        <w:footnoteReference w:id="29"/>
      </w:r>
      <w:r w:rsidRPr="007368DB">
        <w:rPr>
          <w:rFonts w:ascii="Cambria" w:hAnsi="Cambria"/>
          <w:color w:val="000000" w:themeColor="text1"/>
        </w:rPr>
        <w:t xml:space="preserve"> As well, the Commonwealth </w:t>
      </w:r>
      <w:r w:rsidRPr="007368DB">
        <w:rPr>
          <w:rFonts w:ascii="Cambria" w:hAnsi="Cambria"/>
          <w:i/>
          <w:iCs/>
          <w:color w:val="000000" w:themeColor="text1"/>
        </w:rPr>
        <w:t>Crimes Act 1914</w:t>
      </w:r>
      <w:r w:rsidRPr="007368DB">
        <w:rPr>
          <w:rFonts w:ascii="Cambria" w:hAnsi="Cambria"/>
          <w:color w:val="000000" w:themeColor="text1"/>
        </w:rPr>
        <w:t xml:space="preserve"> expressly provides that lethal or dangerous force should not be used by either police officers or private citizens </w:t>
      </w:r>
      <w:r w:rsidRPr="007368DB">
        <w:rPr>
          <w:rFonts w:ascii="Cambria" w:hAnsi="Cambria"/>
          <w:color w:val="000000" w:themeColor="text1"/>
        </w:rPr>
        <w:lastRenderedPageBreak/>
        <w:t>except to protect life or prevent injury to others.</w:t>
      </w:r>
      <w:r w:rsidRPr="007368DB">
        <w:rPr>
          <w:rStyle w:val="FootnoteReference"/>
          <w:rFonts w:ascii="Cambria" w:hAnsi="Cambria"/>
          <w:color w:val="000000" w:themeColor="text1"/>
        </w:rPr>
        <w:footnoteReference w:id="30"/>
      </w:r>
      <w:r w:rsidRPr="007368DB">
        <w:rPr>
          <w:rFonts w:ascii="Cambria" w:hAnsi="Cambria"/>
          <w:color w:val="000000" w:themeColor="text1"/>
        </w:rPr>
        <w:t xml:space="preserve">  We strongly recommend that the proposed Bill adopt the recommendation of the TLRI and enact the principle of proportionality in the use of force in arrest powers.</w:t>
      </w:r>
      <w:r w:rsidRPr="007368DB">
        <w:rPr>
          <w:rStyle w:val="FootnoteReference"/>
          <w:rFonts w:ascii="Cambria" w:hAnsi="Cambria"/>
          <w:color w:val="000000" w:themeColor="text1"/>
        </w:rPr>
        <w:footnoteReference w:id="31"/>
      </w:r>
    </w:p>
    <w:p w:rsidR="00356676" w:rsidRPr="007368DB" w:rsidRDefault="00356676" w:rsidP="00356676">
      <w:pPr>
        <w:pStyle w:val="xmsonormal"/>
        <w:shd w:val="clear" w:color="auto" w:fill="FFFFFF"/>
        <w:spacing w:before="0" w:beforeAutospacing="0" w:after="0" w:afterAutospacing="0"/>
        <w:jc w:val="both"/>
        <w:rPr>
          <w:rFonts w:ascii="Cambria" w:hAnsi="Cambria"/>
          <w:color w:val="000000" w:themeColor="text1"/>
        </w:rPr>
      </w:pPr>
    </w:p>
    <w:p w:rsidR="00356676" w:rsidRPr="007368DB" w:rsidRDefault="00356676" w:rsidP="00356676">
      <w:pPr>
        <w:pStyle w:val="NoSpacing"/>
        <w:pBdr>
          <w:top w:val="single" w:sz="4" w:space="1" w:color="auto"/>
          <w:left w:val="single" w:sz="4" w:space="4" w:color="auto"/>
          <w:bottom w:val="single" w:sz="4" w:space="1" w:color="auto"/>
          <w:right w:val="single" w:sz="4" w:space="4" w:color="auto"/>
        </w:pBdr>
        <w:jc w:val="both"/>
        <w:rPr>
          <w:rFonts w:ascii="Cambria" w:hAnsi="Cambria"/>
          <w:color w:val="000000" w:themeColor="text1"/>
        </w:rPr>
      </w:pPr>
      <w:r w:rsidRPr="007368DB">
        <w:rPr>
          <w:rFonts w:ascii="Cambria" w:hAnsi="Cambria"/>
          <w:b/>
          <w:bCs/>
          <w:color w:val="000000" w:themeColor="text1"/>
        </w:rPr>
        <w:t>Recommendation:</w:t>
      </w:r>
      <w:r w:rsidRPr="007368DB">
        <w:rPr>
          <w:rFonts w:ascii="Cambria" w:hAnsi="Cambria"/>
          <w:color w:val="000000" w:themeColor="text1"/>
        </w:rPr>
        <w:t xml:space="preserve"> That the use of force in arrest be set out in one provision with express recognition that as far as practicable, it must be the lease amount of force reasonable and necessary to carry out the arrest. </w:t>
      </w:r>
    </w:p>
    <w:p w:rsidR="007368DB" w:rsidRPr="00A133FB" w:rsidRDefault="007368DB" w:rsidP="007368DB">
      <w:pPr>
        <w:shd w:val="clear" w:color="auto" w:fill="FFFFFF"/>
        <w:rPr>
          <w:rFonts w:ascii="Cambria" w:eastAsia="Times New Roman" w:hAnsi="Cambria" w:cs="Calibri"/>
          <w:color w:val="000000" w:themeColor="text1"/>
          <w:kern w:val="0"/>
          <w:lang w:eastAsia="en-GB"/>
          <w14:ligatures w14:val="none"/>
        </w:rPr>
      </w:pPr>
    </w:p>
    <w:p w:rsidR="007368DB" w:rsidRPr="00A133FB" w:rsidRDefault="007368DB" w:rsidP="007368DB">
      <w:pPr>
        <w:pStyle w:val="ListParagraph"/>
        <w:numPr>
          <w:ilvl w:val="0"/>
          <w:numId w:val="1"/>
        </w:numPr>
        <w:shd w:val="clear" w:color="auto" w:fill="FFFFFF"/>
        <w:rPr>
          <w:rFonts w:ascii="Cambria" w:eastAsia="Times New Roman" w:hAnsi="Cambria" w:cs="Calibri"/>
          <w:b/>
          <w:bCs/>
          <w:i/>
          <w:iCs/>
          <w:color w:val="000000" w:themeColor="text1"/>
          <w:kern w:val="0"/>
          <w:bdr w:val="none" w:sz="0" w:space="0" w:color="auto" w:frame="1"/>
          <w:lang w:eastAsia="en-GB"/>
          <w14:ligatures w14:val="none"/>
        </w:rPr>
      </w:pPr>
      <w:r w:rsidRPr="00A133FB">
        <w:rPr>
          <w:rFonts w:ascii="Cambria" w:eastAsia="Times New Roman" w:hAnsi="Cambria" w:cs="Calibri"/>
          <w:b/>
          <w:bCs/>
          <w:i/>
          <w:iCs/>
          <w:color w:val="000000" w:themeColor="text1"/>
          <w:kern w:val="0"/>
          <w:bdr w:val="none" w:sz="0" w:space="0" w:color="auto" w:frame="1"/>
          <w:lang w:eastAsia="en-GB"/>
          <w14:ligatures w14:val="none"/>
        </w:rPr>
        <w:t>Search powers</w:t>
      </w:r>
    </w:p>
    <w:p w:rsidR="007368DB" w:rsidRPr="00A133FB" w:rsidRDefault="007368DB" w:rsidP="007368DB">
      <w:pPr>
        <w:shd w:val="clear" w:color="auto" w:fill="FFFFFF"/>
        <w:jc w:val="both"/>
        <w:rPr>
          <w:rFonts w:ascii="Cambria" w:eastAsia="Times New Roman" w:hAnsi="Cambria" w:cs="Calibri"/>
          <w:color w:val="000000" w:themeColor="text1"/>
          <w:kern w:val="0"/>
          <w:bdr w:val="none" w:sz="0" w:space="0" w:color="auto" w:frame="1"/>
          <w:lang w:eastAsia="en-GB"/>
          <w14:ligatures w14:val="none"/>
        </w:rPr>
      </w:pPr>
      <w:r w:rsidRPr="00A133FB">
        <w:rPr>
          <w:rFonts w:ascii="Cambria" w:eastAsia="Times New Roman" w:hAnsi="Cambria" w:cs="Calibri"/>
          <w:color w:val="000000" w:themeColor="text1"/>
          <w:kern w:val="0"/>
          <w:bdr w:val="none" w:sz="0" w:space="0" w:color="auto" w:frame="1"/>
          <w:lang w:eastAsia="en-GB"/>
          <w14:ligatures w14:val="none"/>
        </w:rPr>
        <w:t xml:space="preserve">The proposal paper notes that it is intended to broaden search powers including the power to search where a police officer has a reasonable suspicion a person has committed an offence and reasonably suspect that they are in possession of evidentiary material in relation to that offence. We do not support this proposed reform on the grounds that vulnerable groups including </w:t>
      </w:r>
      <w:r w:rsidRPr="00A133FB">
        <w:rPr>
          <w:rFonts w:ascii="Cambria" w:hAnsi="Cambria"/>
          <w:color w:val="000000" w:themeColor="text1"/>
        </w:rPr>
        <w:t xml:space="preserve">Aboriginal and Torres Strait Islander persons, young persons, persons who have impaired intellectual or physical functioning and persons of non-English speaking backgrounds will be disproportionately targeted. </w:t>
      </w:r>
      <w:r w:rsidRPr="00A133FB">
        <w:rPr>
          <w:rFonts w:ascii="Cambria" w:eastAsia="Times New Roman" w:hAnsi="Cambria" w:cs="Calibri"/>
          <w:color w:val="000000" w:themeColor="text1"/>
          <w:kern w:val="0"/>
          <w:bdr w:val="none" w:sz="0" w:space="0" w:color="auto" w:frame="1"/>
          <w:lang w:eastAsia="en-GB"/>
          <w14:ligatures w14:val="none"/>
        </w:rPr>
        <w:t xml:space="preserve">    </w:t>
      </w:r>
    </w:p>
    <w:p w:rsidR="007368DB" w:rsidRPr="00A133FB" w:rsidRDefault="007368DB" w:rsidP="007368DB">
      <w:pPr>
        <w:pStyle w:val="xmsonormal"/>
        <w:shd w:val="clear" w:color="auto" w:fill="FFFFFF"/>
        <w:spacing w:before="0" w:beforeAutospacing="0" w:after="0" w:afterAutospacing="0"/>
        <w:jc w:val="both"/>
        <w:rPr>
          <w:rFonts w:ascii="Cambria" w:hAnsi="Cambria"/>
          <w:color w:val="000000" w:themeColor="text1"/>
        </w:rPr>
      </w:pPr>
    </w:p>
    <w:p w:rsidR="007368DB" w:rsidRPr="00A133FB" w:rsidRDefault="007368DB" w:rsidP="007368DB">
      <w:pPr>
        <w:pStyle w:val="NoSpacing"/>
        <w:pBdr>
          <w:top w:val="single" w:sz="4" w:space="1" w:color="auto"/>
          <w:left w:val="single" w:sz="4" w:space="4" w:color="auto"/>
          <w:bottom w:val="single" w:sz="4" w:space="1" w:color="auto"/>
          <w:right w:val="single" w:sz="4" w:space="4" w:color="auto"/>
        </w:pBdr>
        <w:jc w:val="both"/>
        <w:rPr>
          <w:rFonts w:ascii="Cambria" w:hAnsi="Cambria"/>
          <w:color w:val="000000" w:themeColor="text1"/>
        </w:rPr>
      </w:pPr>
      <w:r w:rsidRPr="00A133FB">
        <w:rPr>
          <w:rFonts w:ascii="Cambria" w:hAnsi="Cambria"/>
          <w:b/>
          <w:bCs/>
          <w:color w:val="000000" w:themeColor="text1"/>
        </w:rPr>
        <w:t>Recommendation:</w:t>
      </w:r>
      <w:r w:rsidRPr="00A133FB">
        <w:rPr>
          <w:rFonts w:ascii="Cambria" w:hAnsi="Cambria"/>
          <w:color w:val="000000" w:themeColor="text1"/>
        </w:rPr>
        <w:t xml:space="preserve"> That the status quo remain in relation to search powers. </w:t>
      </w:r>
    </w:p>
    <w:p w:rsidR="007368DB" w:rsidRPr="007368DB" w:rsidRDefault="007368DB" w:rsidP="00356676">
      <w:pPr>
        <w:ind w:right="-347"/>
        <w:jc w:val="both"/>
        <w:rPr>
          <w:rFonts w:ascii="Cambria" w:hAnsi="Cambria"/>
          <w:color w:val="000000" w:themeColor="text1"/>
        </w:rPr>
      </w:pPr>
    </w:p>
    <w:p w:rsidR="00356676" w:rsidRPr="007368DB" w:rsidRDefault="00356676" w:rsidP="00356676">
      <w:pPr>
        <w:pStyle w:val="ListParagraph"/>
        <w:numPr>
          <w:ilvl w:val="0"/>
          <w:numId w:val="1"/>
        </w:numPr>
        <w:ind w:right="-347"/>
        <w:jc w:val="both"/>
        <w:rPr>
          <w:rFonts w:ascii="Cambria" w:hAnsi="Cambria"/>
          <w:b/>
          <w:bCs/>
          <w:i/>
          <w:iCs/>
          <w:color w:val="000000" w:themeColor="text1"/>
        </w:rPr>
      </w:pPr>
      <w:r w:rsidRPr="007368DB">
        <w:rPr>
          <w:rFonts w:ascii="Cambria" w:hAnsi="Cambria"/>
          <w:b/>
          <w:bCs/>
          <w:i/>
          <w:iCs/>
          <w:color w:val="000000" w:themeColor="text1"/>
        </w:rPr>
        <w:t>The place of arrest</w:t>
      </w:r>
    </w:p>
    <w:p w:rsidR="00356676" w:rsidRPr="007368DB" w:rsidRDefault="00356676" w:rsidP="00356676">
      <w:pPr>
        <w:ind w:right="-347"/>
        <w:jc w:val="both"/>
        <w:rPr>
          <w:rFonts w:ascii="Cambria" w:hAnsi="Cambria"/>
          <w:color w:val="000000" w:themeColor="text1"/>
        </w:rPr>
      </w:pPr>
      <w:r w:rsidRPr="007368DB">
        <w:rPr>
          <w:rFonts w:ascii="Cambria" w:hAnsi="Cambria"/>
          <w:color w:val="000000" w:themeColor="text1"/>
        </w:rPr>
        <w:t xml:space="preserve">The power to enter private premises to effect an arrest is currently set out in section 26A of the </w:t>
      </w:r>
      <w:r w:rsidRPr="007368DB">
        <w:rPr>
          <w:rFonts w:ascii="Cambria" w:hAnsi="Cambria"/>
          <w:i/>
          <w:iCs/>
          <w:color w:val="000000" w:themeColor="text1"/>
        </w:rPr>
        <w:t>Criminal Code Act 1924</w:t>
      </w:r>
      <w:r w:rsidRPr="007368DB">
        <w:rPr>
          <w:rFonts w:ascii="Cambria" w:hAnsi="Cambria"/>
          <w:color w:val="000000" w:themeColor="text1"/>
        </w:rPr>
        <w:t xml:space="preserve"> (Tas):</w:t>
      </w:r>
    </w:p>
    <w:p w:rsidR="00356676" w:rsidRPr="007368DB" w:rsidRDefault="00356676" w:rsidP="00356676">
      <w:pPr>
        <w:ind w:right="-347"/>
        <w:jc w:val="both"/>
        <w:rPr>
          <w:rFonts w:ascii="Cambria" w:hAnsi="Cambria"/>
          <w:color w:val="000000" w:themeColor="text1"/>
        </w:rPr>
      </w:pPr>
    </w:p>
    <w:p w:rsidR="00356676" w:rsidRPr="005D7A6B" w:rsidRDefault="00356676" w:rsidP="00356676">
      <w:pPr>
        <w:ind w:left="720"/>
        <w:rPr>
          <w:rFonts w:ascii="Cambria" w:hAnsi="Cambria"/>
          <w:b/>
          <w:bCs/>
          <w:i/>
          <w:iCs/>
          <w:color w:val="000000" w:themeColor="text1"/>
          <w:sz w:val="23"/>
          <w:szCs w:val="23"/>
        </w:rPr>
      </w:pPr>
      <w:r w:rsidRPr="005D7A6B">
        <w:rPr>
          <w:rFonts w:ascii="Cambria" w:hAnsi="Cambria"/>
          <w:b/>
          <w:bCs/>
          <w:i/>
          <w:iCs/>
          <w:color w:val="000000" w:themeColor="text1"/>
          <w:sz w:val="23"/>
          <w:szCs w:val="23"/>
        </w:rPr>
        <w:t>26A. Entry on premises for purposes of arrest</w:t>
      </w:r>
    </w:p>
    <w:p w:rsidR="00356676" w:rsidRPr="005D7A6B" w:rsidRDefault="00356676" w:rsidP="00356676">
      <w:pPr>
        <w:ind w:left="720"/>
        <w:rPr>
          <w:rFonts w:ascii="Cambria" w:hAnsi="Cambria"/>
          <w:i/>
          <w:iCs/>
          <w:color w:val="000000" w:themeColor="text1"/>
          <w:sz w:val="23"/>
          <w:szCs w:val="23"/>
        </w:rPr>
      </w:pPr>
      <w:bookmarkStart w:id="0" w:name="JS1@GS26A@Gs1@EN"/>
      <w:bookmarkEnd w:id="0"/>
      <w:r w:rsidRPr="005D7A6B">
        <w:rPr>
          <w:rFonts w:ascii="Cambria" w:hAnsi="Cambria"/>
          <w:i/>
          <w:iCs/>
          <w:color w:val="000000" w:themeColor="text1"/>
          <w:sz w:val="23"/>
          <w:szCs w:val="23"/>
        </w:rPr>
        <w:t>(1)  A police officer may enter (using reasonable force if necessary), remain on and search premises, including a conveyance –</w:t>
      </w:r>
      <w:bookmarkStart w:id="1" w:name="JS1@GS26A@Gs1@Hpa@EN"/>
      <w:bookmarkEnd w:id="1"/>
    </w:p>
    <w:p w:rsidR="00356676" w:rsidRPr="005D7A6B" w:rsidRDefault="00356676" w:rsidP="00356676">
      <w:pPr>
        <w:ind w:left="720"/>
        <w:rPr>
          <w:rFonts w:ascii="Cambria" w:hAnsi="Cambria"/>
          <w:i/>
          <w:iCs/>
          <w:color w:val="000000" w:themeColor="text1"/>
          <w:sz w:val="23"/>
          <w:szCs w:val="23"/>
        </w:rPr>
      </w:pPr>
      <w:r w:rsidRPr="005D7A6B">
        <w:rPr>
          <w:rFonts w:ascii="Cambria" w:hAnsi="Cambria"/>
          <w:i/>
          <w:iCs/>
          <w:color w:val="000000" w:themeColor="text1"/>
          <w:sz w:val="23"/>
          <w:szCs w:val="23"/>
        </w:rPr>
        <w:t>(a) on or in which the police officer has reasonable grounds for believing that a person named in a warrant for arrest is present; or</w:t>
      </w:r>
    </w:p>
    <w:p w:rsidR="00356676" w:rsidRPr="005D7A6B" w:rsidRDefault="00356676" w:rsidP="00356676">
      <w:pPr>
        <w:ind w:left="720"/>
        <w:rPr>
          <w:rFonts w:ascii="Cambria" w:hAnsi="Cambria"/>
          <w:i/>
          <w:iCs/>
          <w:color w:val="000000" w:themeColor="text1"/>
          <w:sz w:val="23"/>
          <w:szCs w:val="23"/>
        </w:rPr>
      </w:pPr>
      <w:bookmarkStart w:id="2" w:name="JS1@GS26A@Gs1@Hpb@EN"/>
      <w:bookmarkEnd w:id="2"/>
      <w:r w:rsidRPr="005D7A6B">
        <w:rPr>
          <w:rFonts w:ascii="Cambria" w:hAnsi="Cambria"/>
          <w:i/>
          <w:iCs/>
          <w:color w:val="000000" w:themeColor="text1"/>
          <w:sz w:val="23"/>
          <w:szCs w:val="23"/>
        </w:rPr>
        <w:t>(b) for the purpose of making an arrest without warrant if lawful to do so.</w:t>
      </w:r>
    </w:p>
    <w:p w:rsidR="00356676" w:rsidRPr="005D7A6B" w:rsidRDefault="00356676" w:rsidP="00356676">
      <w:pPr>
        <w:ind w:left="720"/>
        <w:rPr>
          <w:rFonts w:ascii="Cambria" w:hAnsi="Cambria"/>
          <w:i/>
          <w:iCs/>
          <w:color w:val="000000" w:themeColor="text1"/>
          <w:sz w:val="23"/>
          <w:szCs w:val="23"/>
        </w:rPr>
      </w:pPr>
      <w:bookmarkStart w:id="3" w:name="JS1@GS26A@Gs2@EN"/>
      <w:bookmarkEnd w:id="3"/>
      <w:r w:rsidRPr="005D7A6B">
        <w:rPr>
          <w:rFonts w:ascii="Cambria" w:hAnsi="Cambria"/>
          <w:i/>
          <w:iCs/>
          <w:color w:val="000000" w:themeColor="text1"/>
          <w:sz w:val="23"/>
          <w:szCs w:val="23"/>
        </w:rPr>
        <w:t>(2)  Before entering any premises pursuant to subsection (1), a police officer must communicate or attempt to communicate to a person within the premises the police officer's authority to enter the premises unless the police officer reasonably believes that communicating or attempting to communicate would be likely to endanger any person or frustrate the arrest.</w:t>
      </w:r>
    </w:p>
    <w:p w:rsidR="00356676" w:rsidRPr="007368DB" w:rsidRDefault="00356676" w:rsidP="00356676">
      <w:pPr>
        <w:ind w:right="-347"/>
        <w:jc w:val="both"/>
        <w:rPr>
          <w:rFonts w:ascii="Cambria" w:hAnsi="Cambria"/>
          <w:color w:val="000000" w:themeColor="text1"/>
        </w:rPr>
      </w:pPr>
      <w:r w:rsidRPr="007368DB">
        <w:rPr>
          <w:rFonts w:ascii="Cambria" w:hAnsi="Cambria"/>
          <w:color w:val="000000" w:themeColor="text1"/>
        </w:rPr>
        <w:t xml:space="preserve"> </w:t>
      </w:r>
    </w:p>
    <w:p w:rsidR="00356676" w:rsidRPr="007368DB" w:rsidRDefault="00356676" w:rsidP="00356676">
      <w:pPr>
        <w:ind w:right="-347"/>
        <w:jc w:val="both"/>
        <w:rPr>
          <w:rFonts w:ascii="Cambria" w:hAnsi="Cambria"/>
          <w:iCs/>
          <w:color w:val="000000" w:themeColor="text1"/>
        </w:rPr>
      </w:pPr>
      <w:r w:rsidRPr="007368DB">
        <w:rPr>
          <w:rFonts w:ascii="Cambria" w:hAnsi="Cambria"/>
          <w:color w:val="000000" w:themeColor="text1"/>
        </w:rPr>
        <w:t xml:space="preserve">We agree with the proposal that this power be moved into the consolidated arrest Act. However, as is recommended in the proposal paper a number of limitations or safeguards should be legislatively prescribed including that police have reasonable grounds for believing the person to be arrested is on the premises and that the police officer remain on the premises to effect the arrest for only such time as is reasonably necessary in the circumstances. Section 21 of the </w:t>
      </w:r>
      <w:r w:rsidRPr="007368DB">
        <w:rPr>
          <w:rFonts w:ascii="Cambria" w:hAnsi="Cambria"/>
          <w:i/>
          <w:color w:val="000000" w:themeColor="text1"/>
        </w:rPr>
        <w:t>Police Powers and Responsibilities Act 2000</w:t>
      </w:r>
      <w:r w:rsidRPr="007368DB">
        <w:rPr>
          <w:rFonts w:ascii="Cambria" w:hAnsi="Cambria"/>
          <w:iCs/>
          <w:color w:val="000000" w:themeColor="text1"/>
        </w:rPr>
        <w:t xml:space="preserve"> (Qld) provides a useful model, noting:</w:t>
      </w:r>
    </w:p>
    <w:p w:rsidR="00356676" w:rsidRPr="007368DB" w:rsidRDefault="00356676" w:rsidP="00356676">
      <w:pPr>
        <w:ind w:right="-347"/>
        <w:jc w:val="both"/>
        <w:rPr>
          <w:rFonts w:ascii="Cambria" w:hAnsi="Cambria"/>
          <w:iCs/>
          <w:color w:val="000000" w:themeColor="text1"/>
        </w:rPr>
      </w:pPr>
    </w:p>
    <w:p w:rsidR="00356676" w:rsidRPr="005D7A6B" w:rsidRDefault="00356676" w:rsidP="00356676">
      <w:pPr>
        <w:ind w:left="720"/>
        <w:rPr>
          <w:rFonts w:ascii="Cambria" w:hAnsi="Cambria"/>
          <w:b/>
          <w:bCs/>
          <w:i/>
          <w:iCs/>
          <w:color w:val="000000" w:themeColor="text1"/>
          <w:sz w:val="23"/>
          <w:szCs w:val="23"/>
        </w:rPr>
      </w:pPr>
      <w:r w:rsidRPr="005D7A6B">
        <w:rPr>
          <w:rFonts w:ascii="Cambria" w:hAnsi="Cambria"/>
          <w:b/>
          <w:bCs/>
          <w:i/>
          <w:iCs/>
          <w:color w:val="000000" w:themeColor="text1"/>
          <w:sz w:val="23"/>
          <w:szCs w:val="23"/>
        </w:rPr>
        <w:t xml:space="preserve">21 </w:t>
      </w:r>
      <w:r w:rsidRPr="005D7A6B">
        <w:rPr>
          <w:rStyle w:val="headingname"/>
          <w:rFonts w:ascii="Cambria" w:hAnsi="Cambria" w:cs="Arial"/>
          <w:b/>
          <w:bCs/>
          <w:i/>
          <w:iCs/>
          <w:color w:val="000000" w:themeColor="text1"/>
          <w:sz w:val="23"/>
          <w:szCs w:val="23"/>
        </w:rPr>
        <w:t>General power to enter to arrest or detain someone or enforce warrant</w:t>
      </w:r>
    </w:p>
    <w:p w:rsidR="00356676" w:rsidRPr="005D7A6B" w:rsidRDefault="00356676" w:rsidP="00356676">
      <w:pPr>
        <w:ind w:left="720"/>
        <w:rPr>
          <w:rFonts w:ascii="Cambria" w:hAnsi="Cambria"/>
          <w:i/>
          <w:iCs/>
          <w:color w:val="000000" w:themeColor="text1"/>
          <w:sz w:val="23"/>
          <w:szCs w:val="23"/>
          <w:shd w:val="clear" w:color="auto" w:fill="FFFFFF"/>
        </w:rPr>
      </w:pPr>
      <w:r w:rsidRPr="005D7A6B">
        <w:rPr>
          <w:rStyle w:val="listnumber"/>
          <w:rFonts w:ascii="Cambria" w:hAnsi="Cambria"/>
          <w:i/>
          <w:iCs/>
          <w:color w:val="000000" w:themeColor="text1"/>
          <w:sz w:val="23"/>
          <w:szCs w:val="23"/>
          <w:shd w:val="clear" w:color="auto" w:fill="FFFFFF"/>
        </w:rPr>
        <w:t>(1</w:t>
      </w:r>
      <w:r w:rsidRPr="005D7A6B">
        <w:rPr>
          <w:rFonts w:ascii="Cambria" w:hAnsi="Cambria"/>
          <w:i/>
          <w:iCs/>
          <w:color w:val="000000" w:themeColor="text1"/>
          <w:sz w:val="23"/>
          <w:szCs w:val="23"/>
          <w:shd w:val="clear" w:color="auto" w:fill="FFFFFF"/>
        </w:rPr>
        <w:t>) A police officer may enter a place and stay for a reasonable time on the place—</w:t>
      </w:r>
    </w:p>
    <w:p w:rsidR="00356676" w:rsidRPr="005D7A6B" w:rsidRDefault="00356676" w:rsidP="00356676">
      <w:pPr>
        <w:ind w:left="720"/>
        <w:rPr>
          <w:rStyle w:val="listnumber"/>
          <w:rFonts w:ascii="Cambria" w:hAnsi="Cambria"/>
          <w:i/>
          <w:iCs/>
          <w:color w:val="000000" w:themeColor="text1"/>
          <w:sz w:val="23"/>
          <w:szCs w:val="23"/>
        </w:rPr>
      </w:pPr>
      <w:r w:rsidRPr="005D7A6B">
        <w:rPr>
          <w:rStyle w:val="listnumber"/>
          <w:rFonts w:ascii="Cambria" w:hAnsi="Cambria"/>
          <w:i/>
          <w:iCs/>
          <w:color w:val="000000" w:themeColor="text1"/>
          <w:sz w:val="23"/>
          <w:szCs w:val="23"/>
        </w:rPr>
        <w:t>…</w:t>
      </w:r>
    </w:p>
    <w:p w:rsidR="00356676" w:rsidRPr="005D7A6B" w:rsidRDefault="00356676" w:rsidP="00356676">
      <w:pPr>
        <w:ind w:left="720"/>
        <w:rPr>
          <w:rFonts w:ascii="Cambria" w:hAnsi="Cambria"/>
          <w:i/>
          <w:iCs/>
          <w:color w:val="000000" w:themeColor="text1"/>
          <w:sz w:val="23"/>
          <w:szCs w:val="23"/>
        </w:rPr>
      </w:pPr>
      <w:r w:rsidRPr="005D7A6B">
        <w:rPr>
          <w:rStyle w:val="listnumber"/>
          <w:rFonts w:ascii="Cambria" w:hAnsi="Cambria"/>
          <w:i/>
          <w:iCs/>
          <w:color w:val="000000" w:themeColor="text1"/>
          <w:sz w:val="23"/>
          <w:szCs w:val="23"/>
        </w:rPr>
        <w:lastRenderedPageBreak/>
        <w:t xml:space="preserve">(2) </w:t>
      </w:r>
      <w:r w:rsidRPr="005D7A6B">
        <w:rPr>
          <w:rFonts w:ascii="Cambria" w:hAnsi="Cambria"/>
          <w:i/>
          <w:iCs/>
          <w:color w:val="000000" w:themeColor="text1"/>
          <w:sz w:val="23"/>
          <w:szCs w:val="23"/>
        </w:rPr>
        <w:t>If the place contains a dwelling, a police officer may enter the dwelling without the consent of the occupier to arrest or detain a person only if the police officer reasonably suspects the person to be arrested or detained is at the dwelling.</w:t>
      </w:r>
    </w:p>
    <w:p w:rsidR="00356676" w:rsidRPr="007368DB" w:rsidRDefault="00356676" w:rsidP="00356676">
      <w:pPr>
        <w:ind w:right="-347"/>
        <w:jc w:val="both"/>
        <w:rPr>
          <w:rFonts w:ascii="Cambria" w:hAnsi="Cambria"/>
          <w:color w:val="000000" w:themeColor="text1"/>
        </w:rPr>
      </w:pPr>
    </w:p>
    <w:p w:rsidR="00356676" w:rsidRPr="007368DB" w:rsidRDefault="00356676" w:rsidP="00356676">
      <w:pPr>
        <w:ind w:right="-347"/>
        <w:jc w:val="both"/>
        <w:rPr>
          <w:rFonts w:ascii="Cambria" w:hAnsi="Cambria"/>
          <w:color w:val="000000" w:themeColor="text1"/>
        </w:rPr>
      </w:pPr>
      <w:r w:rsidRPr="007368DB">
        <w:rPr>
          <w:rFonts w:ascii="Cambria" w:hAnsi="Cambria"/>
          <w:color w:val="000000" w:themeColor="text1"/>
        </w:rPr>
        <w:t>The Queensland model</w:t>
      </w:r>
      <w:r w:rsidRPr="007368DB">
        <w:rPr>
          <w:rFonts w:ascii="Cambria" w:hAnsi="Cambria"/>
          <w:iCs/>
          <w:color w:val="000000" w:themeColor="text1"/>
        </w:rPr>
        <w:t xml:space="preserve"> provides additional safeguards including that before a forcible entry can be made the police officer must, if reasonably practicable, ask the occupier to permit entry and give the occupier reasonable opportunity to allow entry</w:t>
      </w:r>
      <w:r w:rsidRPr="007368DB">
        <w:rPr>
          <w:rStyle w:val="FootnoteReference"/>
          <w:rFonts w:ascii="Cambria" w:hAnsi="Cambria"/>
          <w:iCs/>
          <w:color w:val="000000" w:themeColor="text1"/>
        </w:rPr>
        <w:footnoteReference w:id="32"/>
      </w:r>
      <w:r w:rsidRPr="007368DB">
        <w:rPr>
          <w:rFonts w:ascii="Cambria" w:hAnsi="Cambria"/>
          <w:iCs/>
          <w:color w:val="000000" w:themeColor="text1"/>
        </w:rPr>
        <w:t xml:space="preserve"> and the police officer provide their details.</w:t>
      </w:r>
      <w:r w:rsidRPr="007368DB">
        <w:rPr>
          <w:rStyle w:val="FootnoteReference"/>
          <w:rFonts w:ascii="Cambria" w:hAnsi="Cambria"/>
          <w:iCs/>
          <w:color w:val="000000" w:themeColor="text1"/>
        </w:rPr>
        <w:footnoteReference w:id="33"/>
      </w:r>
      <w:r w:rsidRPr="007368DB">
        <w:rPr>
          <w:rFonts w:ascii="Cambria" w:hAnsi="Cambria"/>
          <w:color w:val="000000" w:themeColor="text1"/>
        </w:rPr>
        <w:t xml:space="preserve"> A final safeguard that should be adopted is limiting the carrying out of arrests to daylight hours (subject to limited exceptions) to “protect, as far as possible, occupants’ rights to privacy, particularly of those not involved in the police investigation and to reduce the possibility of a fearful response by occupants”.</w:t>
      </w:r>
      <w:r w:rsidRPr="007368DB">
        <w:rPr>
          <w:rStyle w:val="FootnoteReference"/>
          <w:rFonts w:ascii="Cambria" w:hAnsi="Cambria"/>
          <w:color w:val="000000" w:themeColor="text1"/>
        </w:rPr>
        <w:footnoteReference w:id="34"/>
      </w:r>
      <w:r w:rsidRPr="007368DB">
        <w:rPr>
          <w:rFonts w:ascii="Cambria" w:hAnsi="Cambria"/>
          <w:color w:val="000000" w:themeColor="text1"/>
        </w:rPr>
        <w:t xml:space="preserve"> An illustrative model is contained in the </w:t>
      </w:r>
      <w:r w:rsidRPr="007368DB">
        <w:rPr>
          <w:rFonts w:ascii="Cambria" w:hAnsi="Cambria"/>
          <w:i/>
          <w:iCs/>
          <w:color w:val="000000" w:themeColor="text1"/>
        </w:rPr>
        <w:t>Crimes Act 1914</w:t>
      </w:r>
      <w:r w:rsidRPr="007368DB">
        <w:rPr>
          <w:rFonts w:ascii="Cambria" w:hAnsi="Cambria"/>
          <w:color w:val="000000" w:themeColor="text1"/>
        </w:rPr>
        <w:t xml:space="preserve"> (</w:t>
      </w:r>
      <w:proofErr w:type="spellStart"/>
      <w:r w:rsidRPr="007368DB">
        <w:rPr>
          <w:rFonts w:ascii="Cambria" w:hAnsi="Cambria"/>
          <w:color w:val="000000" w:themeColor="text1"/>
        </w:rPr>
        <w:t>Cth</w:t>
      </w:r>
      <w:proofErr w:type="spellEnd"/>
      <w:r w:rsidRPr="007368DB">
        <w:rPr>
          <w:rFonts w:ascii="Cambria" w:hAnsi="Cambria"/>
          <w:color w:val="000000" w:themeColor="text1"/>
        </w:rPr>
        <w:t>):</w:t>
      </w:r>
    </w:p>
    <w:p w:rsidR="00356676" w:rsidRPr="007368DB" w:rsidRDefault="00356676" w:rsidP="00356676">
      <w:pPr>
        <w:ind w:right="-347"/>
        <w:jc w:val="both"/>
        <w:rPr>
          <w:color w:val="000000" w:themeColor="text1"/>
        </w:rPr>
      </w:pPr>
    </w:p>
    <w:p w:rsidR="00356676" w:rsidRPr="005D7A6B" w:rsidRDefault="00356676" w:rsidP="00356676">
      <w:pPr>
        <w:ind w:left="720"/>
        <w:rPr>
          <w:rFonts w:ascii="Cambria" w:hAnsi="Cambria"/>
          <w:b/>
          <w:bCs/>
          <w:i/>
          <w:iCs/>
          <w:color w:val="000000" w:themeColor="text1"/>
          <w:sz w:val="23"/>
          <w:szCs w:val="23"/>
          <w:shd w:val="clear" w:color="auto" w:fill="FFFFFF"/>
        </w:rPr>
      </w:pPr>
      <w:r w:rsidRPr="005D7A6B">
        <w:rPr>
          <w:rFonts w:ascii="Cambria" w:hAnsi="Cambria"/>
          <w:b/>
          <w:bCs/>
          <w:i/>
          <w:iCs/>
          <w:color w:val="000000" w:themeColor="text1"/>
          <w:sz w:val="23"/>
          <w:szCs w:val="23"/>
        </w:rPr>
        <w:t xml:space="preserve">3ZB </w:t>
      </w:r>
      <w:r w:rsidRPr="005D7A6B">
        <w:rPr>
          <w:rFonts w:ascii="Cambria" w:hAnsi="Cambria"/>
          <w:b/>
          <w:bCs/>
          <w:i/>
          <w:iCs/>
          <w:color w:val="000000" w:themeColor="text1"/>
          <w:sz w:val="23"/>
          <w:szCs w:val="23"/>
          <w:shd w:val="clear" w:color="auto" w:fill="FFFFFF"/>
        </w:rPr>
        <w:t>Power to enter premises to arrest offender</w:t>
      </w:r>
    </w:p>
    <w:p w:rsidR="00356676" w:rsidRPr="005D7A6B" w:rsidRDefault="00356676" w:rsidP="00356676">
      <w:pPr>
        <w:ind w:left="720"/>
        <w:rPr>
          <w:rFonts w:ascii="Cambria" w:hAnsi="Cambria"/>
          <w:i/>
          <w:iCs/>
          <w:color w:val="000000" w:themeColor="text1"/>
          <w:sz w:val="23"/>
          <w:szCs w:val="23"/>
          <w:shd w:val="clear" w:color="auto" w:fill="FFFFFF"/>
        </w:rPr>
      </w:pPr>
      <w:r w:rsidRPr="005D7A6B">
        <w:rPr>
          <w:rFonts w:ascii="Cambria" w:hAnsi="Cambria"/>
          <w:i/>
          <w:iCs/>
          <w:color w:val="000000" w:themeColor="text1"/>
          <w:sz w:val="23"/>
          <w:szCs w:val="23"/>
          <w:shd w:val="clear" w:color="auto" w:fill="FFFFFF"/>
        </w:rPr>
        <w:t>…</w:t>
      </w:r>
    </w:p>
    <w:p w:rsidR="00356676" w:rsidRPr="005D7A6B" w:rsidRDefault="00356676" w:rsidP="00356676">
      <w:pPr>
        <w:ind w:left="720"/>
        <w:rPr>
          <w:rFonts w:ascii="Cambria" w:hAnsi="Cambria"/>
          <w:i/>
          <w:iCs/>
          <w:color w:val="000000" w:themeColor="text1"/>
          <w:sz w:val="23"/>
          <w:szCs w:val="23"/>
        </w:rPr>
      </w:pPr>
      <w:r w:rsidRPr="005D7A6B">
        <w:rPr>
          <w:rFonts w:ascii="Cambria" w:hAnsi="Cambria"/>
          <w:i/>
          <w:iCs/>
          <w:color w:val="000000" w:themeColor="text1"/>
          <w:sz w:val="23"/>
          <w:szCs w:val="23"/>
        </w:rPr>
        <w:t>(3)  A constable must not enter a dwelling house under subsection (1) or (2) at any time during the period commencing at 9 p.m. on a day and ending at 6 a.m. on the following day unless the constable believes on reasonable grounds that:</w:t>
      </w:r>
      <w:bookmarkStart w:id="4" w:name="paragraph"/>
    </w:p>
    <w:p w:rsidR="00356676" w:rsidRPr="005D7A6B" w:rsidRDefault="00356676" w:rsidP="00356676">
      <w:pPr>
        <w:ind w:left="720"/>
        <w:rPr>
          <w:rFonts w:ascii="Cambria" w:hAnsi="Cambria"/>
          <w:i/>
          <w:iCs/>
          <w:color w:val="000000" w:themeColor="text1"/>
          <w:sz w:val="23"/>
          <w:szCs w:val="23"/>
        </w:rPr>
      </w:pPr>
      <w:r w:rsidRPr="005D7A6B">
        <w:rPr>
          <w:rFonts w:ascii="Cambria" w:hAnsi="Cambria"/>
          <w:i/>
          <w:iCs/>
          <w:color w:val="000000" w:themeColor="text1"/>
          <w:sz w:val="23"/>
          <w:szCs w:val="23"/>
        </w:rPr>
        <w:t>(a) it would not be practicable to arrest the person, either at the dwelling house or elsewhere, at another time; or</w:t>
      </w:r>
      <w:bookmarkEnd w:id="4"/>
    </w:p>
    <w:p w:rsidR="00356676" w:rsidRPr="005D7A6B" w:rsidRDefault="00356676" w:rsidP="00356676">
      <w:pPr>
        <w:ind w:left="720"/>
        <w:rPr>
          <w:rFonts w:ascii="Cambria" w:hAnsi="Cambria"/>
          <w:i/>
          <w:iCs/>
          <w:color w:val="000000" w:themeColor="text1"/>
          <w:sz w:val="23"/>
          <w:szCs w:val="23"/>
        </w:rPr>
      </w:pPr>
      <w:r w:rsidRPr="005D7A6B">
        <w:rPr>
          <w:rFonts w:ascii="Cambria" w:hAnsi="Cambria"/>
          <w:i/>
          <w:iCs/>
          <w:color w:val="000000" w:themeColor="text1"/>
          <w:sz w:val="23"/>
          <w:szCs w:val="23"/>
        </w:rPr>
        <w:t>(b) it is necessary to do so in order to prevent the concealment, loss or destruction of evidence relating to the offence. </w:t>
      </w:r>
    </w:p>
    <w:p w:rsidR="00356676" w:rsidRPr="007368DB" w:rsidRDefault="00356676" w:rsidP="00356676">
      <w:pPr>
        <w:pStyle w:val="xmsonormal"/>
        <w:shd w:val="clear" w:color="auto" w:fill="FFFFFF"/>
        <w:spacing w:before="0" w:beforeAutospacing="0" w:after="0" w:afterAutospacing="0"/>
        <w:jc w:val="both"/>
        <w:rPr>
          <w:rFonts w:ascii="Cambria" w:hAnsi="Cambria"/>
          <w:color w:val="000000" w:themeColor="text1"/>
        </w:rPr>
      </w:pPr>
    </w:p>
    <w:p w:rsidR="00356676" w:rsidRPr="007368DB" w:rsidRDefault="00356676" w:rsidP="00356676">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b/>
          <w:bCs/>
          <w:color w:val="000000" w:themeColor="text1"/>
        </w:rPr>
        <w:t>Recommendation:</w:t>
      </w:r>
      <w:r w:rsidRPr="007368DB">
        <w:rPr>
          <w:rFonts w:ascii="Cambria" w:hAnsi="Cambria"/>
          <w:color w:val="000000" w:themeColor="text1"/>
        </w:rPr>
        <w:t xml:space="preserve"> That the power of entry to effect an arrest is subject to additional safeguards including: </w:t>
      </w:r>
    </w:p>
    <w:p w:rsidR="00356676" w:rsidRPr="007368DB" w:rsidRDefault="00356676" w:rsidP="00356676">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color w:val="000000" w:themeColor="text1"/>
        </w:rPr>
        <w:t xml:space="preserve">a requirement that police officers have reasonable grounds for believing that the person to be arrested is on the premises; and </w:t>
      </w:r>
    </w:p>
    <w:p w:rsidR="00356676" w:rsidRPr="007368DB" w:rsidRDefault="00356676" w:rsidP="00356676">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color w:val="000000" w:themeColor="text1"/>
        </w:rPr>
        <w:t xml:space="preserve">a requirement that the police officer supply their details to the occupants and remain at the premises to effect the arrest for only such time as is reasonably necessary in the circumstances and; </w:t>
      </w:r>
    </w:p>
    <w:p w:rsidR="00356676" w:rsidRPr="007368DB" w:rsidRDefault="00356676" w:rsidP="00356676">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color w:val="000000" w:themeColor="text1"/>
        </w:rPr>
        <w:t xml:space="preserve">a requirement that arrests (subject to limited exceptions) only be carried out during daylight hours. </w:t>
      </w:r>
    </w:p>
    <w:p w:rsidR="007368DB" w:rsidRPr="007368DB" w:rsidRDefault="007368DB" w:rsidP="00857C56">
      <w:pPr>
        <w:pStyle w:val="xmsonormal"/>
        <w:shd w:val="clear" w:color="auto" w:fill="FFFFFF"/>
        <w:spacing w:before="0" w:beforeAutospacing="0" w:after="0" w:afterAutospacing="0"/>
        <w:jc w:val="both"/>
        <w:rPr>
          <w:rFonts w:ascii="Cambria" w:hAnsi="Cambria"/>
          <w:color w:val="000000" w:themeColor="text1"/>
        </w:rPr>
      </w:pPr>
    </w:p>
    <w:p w:rsidR="00857C56" w:rsidRPr="007368DB" w:rsidRDefault="00857C56" w:rsidP="00E679E7">
      <w:pPr>
        <w:pStyle w:val="ListParagraph"/>
        <w:numPr>
          <w:ilvl w:val="0"/>
          <w:numId w:val="3"/>
        </w:numPr>
        <w:ind w:right="-347"/>
        <w:jc w:val="both"/>
        <w:rPr>
          <w:rFonts w:ascii="Cambria" w:hAnsi="Cambria"/>
          <w:b/>
          <w:bCs/>
          <w:i/>
          <w:color w:val="000000" w:themeColor="text1"/>
        </w:rPr>
      </w:pPr>
      <w:r w:rsidRPr="007368DB">
        <w:rPr>
          <w:rFonts w:ascii="Cambria" w:hAnsi="Cambria"/>
          <w:b/>
          <w:bCs/>
          <w:i/>
          <w:color w:val="000000" w:themeColor="text1"/>
        </w:rPr>
        <w:t xml:space="preserve">Family Violence Act 2004 </w:t>
      </w:r>
    </w:p>
    <w:p w:rsidR="00857C56" w:rsidRPr="007368DB" w:rsidRDefault="00857C56" w:rsidP="00F65D4C">
      <w:pPr>
        <w:ind w:right="-347"/>
        <w:jc w:val="both"/>
        <w:rPr>
          <w:rFonts w:ascii="Cambria" w:hAnsi="Cambria"/>
          <w:iCs/>
          <w:color w:val="000000" w:themeColor="text1"/>
        </w:rPr>
      </w:pPr>
      <w:r w:rsidRPr="007368DB">
        <w:rPr>
          <w:rFonts w:ascii="Cambria" w:hAnsi="Cambria"/>
          <w:iCs/>
          <w:color w:val="000000" w:themeColor="text1"/>
        </w:rPr>
        <w:t xml:space="preserve">The arrest power contained in section 10 of the </w:t>
      </w:r>
      <w:r w:rsidRPr="007368DB">
        <w:rPr>
          <w:rFonts w:ascii="Cambria" w:hAnsi="Cambria"/>
          <w:i/>
          <w:color w:val="000000" w:themeColor="text1"/>
        </w:rPr>
        <w:t>Family Violence Act 2004</w:t>
      </w:r>
      <w:r w:rsidRPr="007368DB">
        <w:rPr>
          <w:rFonts w:ascii="Cambria" w:hAnsi="Cambria"/>
          <w:iCs/>
          <w:color w:val="000000" w:themeColor="text1"/>
        </w:rPr>
        <w:t xml:space="preserve"> (Tas) facilitate</w:t>
      </w:r>
      <w:r w:rsidR="00766C82" w:rsidRPr="007368DB">
        <w:rPr>
          <w:rFonts w:ascii="Cambria" w:hAnsi="Cambria"/>
          <w:iCs/>
          <w:color w:val="000000" w:themeColor="text1"/>
        </w:rPr>
        <w:t>s</w:t>
      </w:r>
      <w:r w:rsidRPr="007368DB">
        <w:rPr>
          <w:rFonts w:ascii="Cambria" w:hAnsi="Cambria"/>
          <w:iCs/>
          <w:color w:val="000000" w:themeColor="text1"/>
        </w:rPr>
        <w:t xml:space="preserve"> the issuing of a police family violence order or the making of a family violence order whilst section 11 of the Act empowers a police officer to arrest a person who they reasonably suspect has committed family violence.</w:t>
      </w:r>
      <w:r w:rsidR="00766C82" w:rsidRPr="007368DB">
        <w:rPr>
          <w:rFonts w:ascii="Cambria" w:hAnsi="Cambria"/>
          <w:iCs/>
          <w:color w:val="000000" w:themeColor="text1"/>
        </w:rPr>
        <w:t xml:space="preserve"> Whilst the lower threshold of ‘reasonably suspect’ is applied, the policy objective to make ‘the safety, psychological wellbeing and interests of people affected by family violence…paramount considerations’.</w:t>
      </w:r>
      <w:r w:rsidR="00766C82" w:rsidRPr="007368DB">
        <w:rPr>
          <w:rStyle w:val="FootnoteReference"/>
          <w:rFonts w:ascii="Cambria" w:hAnsi="Cambria"/>
          <w:iCs/>
          <w:color w:val="000000" w:themeColor="text1"/>
        </w:rPr>
        <w:footnoteReference w:id="35"/>
      </w:r>
      <w:r w:rsidR="00766C82" w:rsidRPr="007368DB">
        <w:rPr>
          <w:rFonts w:ascii="Cambria" w:hAnsi="Cambria"/>
          <w:iCs/>
          <w:color w:val="000000" w:themeColor="text1"/>
        </w:rPr>
        <w:t xml:space="preserve"> Similarly, section 11(5) of the </w:t>
      </w:r>
      <w:r w:rsidR="00766C82" w:rsidRPr="007368DB">
        <w:rPr>
          <w:rFonts w:ascii="Cambria" w:hAnsi="Cambria"/>
          <w:i/>
          <w:color w:val="000000" w:themeColor="text1"/>
        </w:rPr>
        <w:t>Family Violence Act 2004</w:t>
      </w:r>
      <w:r w:rsidR="00766C82" w:rsidRPr="007368DB">
        <w:rPr>
          <w:rFonts w:ascii="Cambria" w:hAnsi="Cambria"/>
          <w:iCs/>
          <w:color w:val="000000" w:themeColor="text1"/>
        </w:rPr>
        <w:t xml:space="preserve"> provides that a police officer is to “give priority to the safety, wellbeing and interests of any affected people…” </w:t>
      </w:r>
      <w:r w:rsidR="008436CB" w:rsidRPr="007368DB">
        <w:rPr>
          <w:rFonts w:ascii="Cambria" w:hAnsi="Cambria"/>
          <w:iCs/>
          <w:color w:val="000000" w:themeColor="text1"/>
        </w:rPr>
        <w:t xml:space="preserve">As the TLRI has observed, the </w:t>
      </w:r>
      <w:r w:rsidR="00766C82" w:rsidRPr="007368DB">
        <w:rPr>
          <w:rFonts w:ascii="Cambria" w:hAnsi="Cambria"/>
          <w:iCs/>
          <w:color w:val="000000" w:themeColor="text1"/>
        </w:rPr>
        <w:t xml:space="preserve">purpose and policy basis of the arrest provisions in the </w:t>
      </w:r>
      <w:r w:rsidR="00766C82" w:rsidRPr="007368DB">
        <w:rPr>
          <w:rFonts w:ascii="Cambria" w:hAnsi="Cambria"/>
          <w:i/>
          <w:color w:val="000000" w:themeColor="text1"/>
        </w:rPr>
        <w:t>Family Violence Act 2004</w:t>
      </w:r>
      <w:r w:rsidR="00766C82" w:rsidRPr="007368DB">
        <w:rPr>
          <w:rFonts w:ascii="Cambria" w:hAnsi="Cambria"/>
          <w:iCs/>
          <w:color w:val="000000" w:themeColor="text1"/>
        </w:rPr>
        <w:t xml:space="preserve"> </w:t>
      </w:r>
      <w:r w:rsidR="008436CB" w:rsidRPr="007368DB">
        <w:rPr>
          <w:rFonts w:ascii="Cambria" w:hAnsi="Cambria"/>
          <w:iCs/>
          <w:color w:val="000000" w:themeColor="text1"/>
        </w:rPr>
        <w:t xml:space="preserve">seek to prevent crime rather than initiate a prosecutorial process and it is therefore </w:t>
      </w:r>
      <w:r w:rsidR="00766C82" w:rsidRPr="007368DB">
        <w:rPr>
          <w:rFonts w:ascii="Cambria" w:hAnsi="Cambria"/>
          <w:iCs/>
          <w:color w:val="000000" w:themeColor="text1"/>
        </w:rPr>
        <w:t xml:space="preserve">“legitimate that they should </w:t>
      </w:r>
      <w:r w:rsidR="00766C82" w:rsidRPr="007368DB">
        <w:rPr>
          <w:rFonts w:ascii="Cambria" w:hAnsi="Cambria"/>
          <w:iCs/>
          <w:color w:val="000000" w:themeColor="text1"/>
        </w:rPr>
        <w:lastRenderedPageBreak/>
        <w:t>continue to stand apart from those provisions and comprise exceptions to the general approach to arrest…”</w:t>
      </w:r>
      <w:r w:rsidR="00766C82" w:rsidRPr="007368DB">
        <w:rPr>
          <w:rStyle w:val="FootnoteReference"/>
          <w:rFonts w:ascii="Cambria" w:hAnsi="Cambria"/>
          <w:iCs/>
          <w:color w:val="000000" w:themeColor="text1"/>
        </w:rPr>
        <w:footnoteReference w:id="36"/>
      </w:r>
      <w:r w:rsidR="00766C82" w:rsidRPr="007368DB">
        <w:rPr>
          <w:rFonts w:ascii="Cambria" w:hAnsi="Cambria"/>
          <w:iCs/>
          <w:color w:val="000000" w:themeColor="text1"/>
        </w:rPr>
        <w:t xml:space="preserve">  </w:t>
      </w:r>
    </w:p>
    <w:p w:rsidR="00BC39F4" w:rsidRPr="007368DB" w:rsidRDefault="00BC39F4" w:rsidP="00BC39F4">
      <w:pPr>
        <w:pStyle w:val="xmsonormal"/>
        <w:shd w:val="clear" w:color="auto" w:fill="FFFFFF"/>
        <w:spacing w:before="0" w:beforeAutospacing="0" w:after="0" w:afterAutospacing="0"/>
        <w:jc w:val="both"/>
        <w:rPr>
          <w:rFonts w:ascii="Cambria" w:hAnsi="Cambria"/>
          <w:color w:val="000000" w:themeColor="text1"/>
        </w:rPr>
      </w:pPr>
    </w:p>
    <w:p w:rsidR="00BC39F4" w:rsidRPr="007368DB" w:rsidRDefault="00BC39F4" w:rsidP="00BC39F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b/>
          <w:bCs/>
          <w:color w:val="000000" w:themeColor="text1"/>
        </w:rPr>
        <w:t>Recommendation:</w:t>
      </w:r>
      <w:r w:rsidRPr="007368DB">
        <w:rPr>
          <w:rFonts w:ascii="Cambria" w:hAnsi="Cambria"/>
          <w:color w:val="000000" w:themeColor="text1"/>
        </w:rPr>
        <w:t xml:space="preserve"> That the arrest powers in the </w:t>
      </w:r>
      <w:r w:rsidRPr="007368DB">
        <w:rPr>
          <w:rFonts w:ascii="Cambria" w:hAnsi="Cambria"/>
          <w:i/>
          <w:iCs/>
          <w:color w:val="000000" w:themeColor="text1"/>
        </w:rPr>
        <w:t>Family Violence Act 2004</w:t>
      </w:r>
      <w:r w:rsidRPr="007368DB">
        <w:rPr>
          <w:rFonts w:ascii="Cambria" w:hAnsi="Cambria"/>
          <w:color w:val="000000" w:themeColor="text1"/>
        </w:rPr>
        <w:t xml:space="preserve"> (Tas) remain an exception to the general consolidated arrest powers. </w:t>
      </w:r>
    </w:p>
    <w:p w:rsidR="00901D99" w:rsidRPr="007368DB" w:rsidRDefault="00901D99" w:rsidP="00BC39F4">
      <w:pPr>
        <w:pStyle w:val="xmsonormal"/>
        <w:shd w:val="clear" w:color="auto" w:fill="FFFFFF"/>
        <w:spacing w:before="0" w:beforeAutospacing="0" w:after="0" w:afterAutospacing="0"/>
        <w:jc w:val="both"/>
        <w:rPr>
          <w:rFonts w:ascii="Cambria" w:hAnsi="Cambria"/>
          <w:color w:val="000000" w:themeColor="text1"/>
        </w:rPr>
      </w:pPr>
    </w:p>
    <w:p w:rsidR="00BC39F4" w:rsidRPr="007368DB" w:rsidRDefault="00BC39F4" w:rsidP="00BC39F4">
      <w:pPr>
        <w:pStyle w:val="ListParagraph"/>
        <w:numPr>
          <w:ilvl w:val="0"/>
          <w:numId w:val="1"/>
        </w:numPr>
        <w:ind w:right="-347"/>
        <w:jc w:val="both"/>
        <w:rPr>
          <w:rFonts w:ascii="Cambria" w:hAnsi="Cambria"/>
          <w:b/>
          <w:bCs/>
          <w:i/>
          <w:color w:val="000000" w:themeColor="text1"/>
        </w:rPr>
      </w:pPr>
      <w:r w:rsidRPr="007368DB">
        <w:rPr>
          <w:rFonts w:ascii="Cambria" w:hAnsi="Cambria"/>
          <w:b/>
          <w:bCs/>
          <w:i/>
          <w:color w:val="000000" w:themeColor="text1"/>
        </w:rPr>
        <w:t>Vulnerable persons</w:t>
      </w:r>
    </w:p>
    <w:p w:rsidR="00B97ACB" w:rsidRPr="007368DB" w:rsidRDefault="00BC39F4" w:rsidP="00BC39F4">
      <w:pPr>
        <w:ind w:right="-347"/>
        <w:jc w:val="both"/>
        <w:rPr>
          <w:rFonts w:ascii="Cambria" w:hAnsi="Cambria"/>
          <w:iCs/>
          <w:color w:val="000000" w:themeColor="text1"/>
        </w:rPr>
      </w:pPr>
      <w:r w:rsidRPr="007368DB">
        <w:rPr>
          <w:rFonts w:ascii="Cambria" w:hAnsi="Cambria"/>
          <w:iCs/>
          <w:color w:val="000000" w:themeColor="text1"/>
        </w:rPr>
        <w:t>We support the TLRI recommendation that vulnerable persons</w:t>
      </w:r>
      <w:r w:rsidRPr="007368DB">
        <w:rPr>
          <w:rFonts w:ascii="Cambria" w:hAnsi="Cambria"/>
          <w:color w:val="000000" w:themeColor="text1"/>
        </w:rPr>
        <w:t xml:space="preserve"> should be afforded greater protection in the proposed Act.</w:t>
      </w:r>
      <w:r w:rsidR="007E4316" w:rsidRPr="007368DB">
        <w:rPr>
          <w:rStyle w:val="FootnoteReference"/>
          <w:rFonts w:ascii="Cambria" w:hAnsi="Cambria"/>
          <w:color w:val="000000" w:themeColor="text1"/>
        </w:rPr>
        <w:footnoteReference w:id="37"/>
      </w:r>
      <w:r w:rsidR="00FE6074" w:rsidRPr="007368DB">
        <w:rPr>
          <w:rFonts w:ascii="Cambria" w:hAnsi="Cambria"/>
          <w:color w:val="000000" w:themeColor="text1"/>
        </w:rPr>
        <w:t xml:space="preserve"> Aboriginal and Torres Strait Islander people do require greater protections with current Australian Bureau of Statistics data noting that </w:t>
      </w:r>
      <w:r w:rsidR="00FE6074" w:rsidRPr="007368DB">
        <w:rPr>
          <w:rFonts w:ascii="Cambria" w:hAnsi="Cambria"/>
          <w:iCs/>
          <w:color w:val="000000" w:themeColor="text1"/>
        </w:rPr>
        <w:t>24 per cent of the Tasmanian prison population is Aboriginal or Torres Strait Islander compared to 5 per cent in the broader Tasmanian population.</w:t>
      </w:r>
      <w:r w:rsidR="00FE6074" w:rsidRPr="007368DB">
        <w:rPr>
          <w:rStyle w:val="FootnoteReference"/>
          <w:rFonts w:ascii="Cambria" w:hAnsi="Cambria"/>
          <w:iCs/>
          <w:color w:val="000000" w:themeColor="text1"/>
        </w:rPr>
        <w:footnoteReference w:id="38"/>
      </w:r>
      <w:r w:rsidR="00B97ACB" w:rsidRPr="007368DB">
        <w:rPr>
          <w:rFonts w:ascii="Cambria" w:hAnsi="Cambria"/>
          <w:iCs/>
          <w:color w:val="000000" w:themeColor="text1"/>
        </w:rPr>
        <w:t xml:space="preserve"> </w:t>
      </w:r>
      <w:r w:rsidR="000E2785" w:rsidRPr="007368DB">
        <w:rPr>
          <w:rFonts w:ascii="Cambria" w:hAnsi="Cambria"/>
          <w:iCs/>
          <w:color w:val="000000" w:themeColor="text1"/>
        </w:rPr>
        <w:t xml:space="preserve">We also recognise that young persons also require greater protections with the </w:t>
      </w:r>
      <w:r w:rsidR="00CF65F3" w:rsidRPr="007368DB">
        <w:rPr>
          <w:rFonts w:ascii="Cambria" w:hAnsi="Cambria"/>
          <w:iCs/>
          <w:color w:val="000000" w:themeColor="text1"/>
        </w:rPr>
        <w:t>p</w:t>
      </w:r>
      <w:r w:rsidR="000E2785" w:rsidRPr="007368DB">
        <w:rPr>
          <w:rFonts w:ascii="Cambria" w:hAnsi="Cambria"/>
          <w:iCs/>
          <w:color w:val="000000" w:themeColor="text1"/>
        </w:rPr>
        <w:t xml:space="preserve">roposal </w:t>
      </w:r>
      <w:r w:rsidR="00CF65F3" w:rsidRPr="007368DB">
        <w:rPr>
          <w:rFonts w:ascii="Cambria" w:hAnsi="Cambria"/>
          <w:iCs/>
          <w:color w:val="000000" w:themeColor="text1"/>
        </w:rPr>
        <w:t>p</w:t>
      </w:r>
      <w:r w:rsidR="000E2785" w:rsidRPr="007368DB">
        <w:rPr>
          <w:rFonts w:ascii="Cambria" w:hAnsi="Cambria"/>
          <w:iCs/>
          <w:color w:val="000000" w:themeColor="text1"/>
        </w:rPr>
        <w:t>aper</w:t>
      </w:r>
      <w:r w:rsidR="00D056CA" w:rsidRPr="007368DB">
        <w:rPr>
          <w:rFonts w:ascii="Cambria" w:hAnsi="Cambria"/>
          <w:iCs/>
          <w:color w:val="000000" w:themeColor="text1"/>
        </w:rPr>
        <w:t xml:space="preserve"> </w:t>
      </w:r>
      <w:r w:rsidR="00D056CA" w:rsidRPr="007368DB">
        <w:rPr>
          <w:rFonts w:ascii="Cambria" w:hAnsi="Cambria"/>
          <w:color w:val="000000" w:themeColor="text1"/>
        </w:rPr>
        <w:t xml:space="preserve">not intending to make any changes to the existing requirements in relation to arresting a young person contained in section 24A of the </w:t>
      </w:r>
      <w:r w:rsidR="00D056CA" w:rsidRPr="007368DB">
        <w:rPr>
          <w:rFonts w:ascii="Cambria" w:hAnsi="Cambria"/>
          <w:i/>
          <w:iCs/>
          <w:color w:val="000000" w:themeColor="text1"/>
        </w:rPr>
        <w:t>Youth Justice Act 1997</w:t>
      </w:r>
      <w:r w:rsidR="00D056CA" w:rsidRPr="007368DB">
        <w:rPr>
          <w:rFonts w:ascii="Cambria" w:hAnsi="Cambria"/>
          <w:color w:val="000000" w:themeColor="text1"/>
        </w:rPr>
        <w:t xml:space="preserve"> (Tas). Nevertheless, there are other vulnerable groups that should be afforded greater protection. </w:t>
      </w:r>
      <w:r w:rsidR="000E2785" w:rsidRPr="007368DB">
        <w:rPr>
          <w:rFonts w:ascii="Cambria" w:hAnsi="Cambria"/>
          <w:iCs/>
          <w:color w:val="000000" w:themeColor="text1"/>
        </w:rPr>
        <w:t xml:space="preserve"> </w:t>
      </w:r>
    </w:p>
    <w:p w:rsidR="00B97ACB" w:rsidRPr="007368DB" w:rsidRDefault="00B97ACB" w:rsidP="00BC39F4">
      <w:pPr>
        <w:ind w:right="-347"/>
        <w:jc w:val="both"/>
        <w:rPr>
          <w:rFonts w:ascii="Cambria" w:hAnsi="Cambria"/>
          <w:iCs/>
          <w:color w:val="000000" w:themeColor="text1"/>
        </w:rPr>
      </w:pPr>
    </w:p>
    <w:p w:rsidR="00BC39F4" w:rsidRPr="007368DB" w:rsidRDefault="00E679E7" w:rsidP="00BC39F4">
      <w:pPr>
        <w:ind w:right="-347"/>
        <w:jc w:val="both"/>
        <w:rPr>
          <w:rFonts w:ascii="Cambria" w:hAnsi="Cambria"/>
          <w:iCs/>
          <w:color w:val="000000" w:themeColor="text1"/>
        </w:rPr>
      </w:pPr>
      <w:r w:rsidRPr="007368DB">
        <w:rPr>
          <w:rFonts w:ascii="Cambria" w:hAnsi="Cambria"/>
          <w:color w:val="000000" w:themeColor="text1"/>
        </w:rPr>
        <w:t>In</w:t>
      </w:r>
      <w:r w:rsidR="00161167" w:rsidRPr="007368DB">
        <w:rPr>
          <w:rFonts w:ascii="Cambria" w:hAnsi="Cambria"/>
          <w:color w:val="000000" w:themeColor="text1"/>
        </w:rPr>
        <w:t xml:space="preserve"> other jurisdictions,</w:t>
      </w:r>
      <w:r w:rsidR="00BC39F4" w:rsidRPr="007368DB">
        <w:rPr>
          <w:rFonts w:ascii="Cambria" w:hAnsi="Cambria"/>
          <w:color w:val="000000" w:themeColor="text1"/>
        </w:rPr>
        <w:t xml:space="preserve"> a </w:t>
      </w:r>
      <w:r w:rsidR="007E4316" w:rsidRPr="007368DB">
        <w:rPr>
          <w:rFonts w:ascii="Cambria" w:hAnsi="Cambria"/>
          <w:color w:val="000000" w:themeColor="text1"/>
        </w:rPr>
        <w:t xml:space="preserve">broader range of </w:t>
      </w:r>
      <w:r w:rsidR="00BC39F4" w:rsidRPr="007368DB">
        <w:rPr>
          <w:rFonts w:ascii="Cambria" w:hAnsi="Cambria"/>
          <w:color w:val="000000" w:themeColor="text1"/>
        </w:rPr>
        <w:t>vulnerable person</w:t>
      </w:r>
      <w:r w:rsidR="007E4316" w:rsidRPr="007368DB">
        <w:rPr>
          <w:rFonts w:ascii="Cambria" w:hAnsi="Cambria"/>
          <w:color w:val="000000" w:themeColor="text1"/>
        </w:rPr>
        <w:t>s are protected including young persons, persons who have impaired intellectual or physical functioning; Aborigin</w:t>
      </w:r>
      <w:r w:rsidR="007F5F5F" w:rsidRPr="007368DB">
        <w:rPr>
          <w:rFonts w:ascii="Cambria" w:hAnsi="Cambria"/>
          <w:color w:val="000000" w:themeColor="text1"/>
        </w:rPr>
        <w:t>al</w:t>
      </w:r>
      <w:r w:rsidR="007E4316" w:rsidRPr="007368DB">
        <w:rPr>
          <w:rFonts w:ascii="Cambria" w:hAnsi="Cambria"/>
          <w:color w:val="000000" w:themeColor="text1"/>
        </w:rPr>
        <w:t xml:space="preserve"> and Torres Strait Islanders and persons who are of non-English speaking backgrounds.</w:t>
      </w:r>
      <w:r w:rsidR="007E4316" w:rsidRPr="007368DB">
        <w:rPr>
          <w:rStyle w:val="FootnoteReference"/>
          <w:rFonts w:ascii="Cambria" w:hAnsi="Cambria"/>
          <w:color w:val="000000" w:themeColor="text1"/>
        </w:rPr>
        <w:footnoteReference w:id="39"/>
      </w:r>
      <w:r w:rsidR="000E146C" w:rsidRPr="007368DB">
        <w:rPr>
          <w:rFonts w:ascii="Cambria" w:hAnsi="Cambria"/>
          <w:iCs/>
          <w:color w:val="000000" w:themeColor="text1"/>
        </w:rPr>
        <w:t xml:space="preserve"> As well, </w:t>
      </w:r>
      <w:r w:rsidR="000E146C" w:rsidRPr="007368DB">
        <w:rPr>
          <w:rFonts w:ascii="Cambria" w:hAnsi="Cambria"/>
          <w:color w:val="000000" w:themeColor="text1"/>
        </w:rPr>
        <w:t>i</w:t>
      </w:r>
      <w:r w:rsidR="007E4316" w:rsidRPr="007368DB">
        <w:rPr>
          <w:rFonts w:ascii="Cambria" w:hAnsi="Cambria"/>
          <w:color w:val="000000" w:themeColor="text1"/>
        </w:rPr>
        <w:t xml:space="preserve">n </w:t>
      </w:r>
      <w:r w:rsidR="00BC39F4" w:rsidRPr="007368DB">
        <w:rPr>
          <w:rFonts w:ascii="Cambria" w:hAnsi="Cambria"/>
          <w:color w:val="000000" w:themeColor="text1"/>
        </w:rPr>
        <w:t>circumstances where a vulnerable person is detained, the custody manager is required to let the vulnerable person know that they have a right to make a telephone call to a legal practitioner, support person or other person.</w:t>
      </w:r>
      <w:r w:rsidR="007E4316" w:rsidRPr="007368DB">
        <w:rPr>
          <w:rStyle w:val="FootnoteReference"/>
          <w:rFonts w:ascii="Cambria" w:hAnsi="Cambria"/>
          <w:color w:val="000000" w:themeColor="text1"/>
        </w:rPr>
        <w:footnoteReference w:id="40"/>
      </w:r>
      <w:r w:rsidR="00BC39F4" w:rsidRPr="007368DB">
        <w:rPr>
          <w:rFonts w:ascii="Cambria" w:hAnsi="Cambria"/>
          <w:color w:val="000000" w:themeColor="text1"/>
        </w:rPr>
        <w:t xml:space="preserve"> The support person is also able to be present during investigative procedures.</w:t>
      </w:r>
      <w:r w:rsidR="007E4316" w:rsidRPr="007368DB">
        <w:rPr>
          <w:rStyle w:val="FootnoteReference"/>
          <w:rFonts w:ascii="Cambria" w:hAnsi="Cambria"/>
          <w:color w:val="000000" w:themeColor="text1"/>
        </w:rPr>
        <w:footnoteReference w:id="41"/>
      </w:r>
      <w:r w:rsidR="007F5F5F" w:rsidRPr="007368DB">
        <w:rPr>
          <w:rFonts w:ascii="Cambria" w:hAnsi="Cambria"/>
          <w:color w:val="000000" w:themeColor="text1"/>
        </w:rPr>
        <w:t xml:space="preserve"> </w:t>
      </w:r>
      <w:r w:rsidR="00BC39F4" w:rsidRPr="007368DB">
        <w:rPr>
          <w:rFonts w:ascii="Cambria" w:hAnsi="Cambria"/>
          <w:color w:val="000000" w:themeColor="text1"/>
        </w:rPr>
        <w:t>The NSW Regulations also stipulate that where the vulnerable person is an Aborigine or Torres Strait Islander the custody manager must notify the NSW Aboriginal Legal Service.</w:t>
      </w:r>
      <w:r w:rsidRPr="007368DB">
        <w:rPr>
          <w:rStyle w:val="FootnoteReference"/>
          <w:rFonts w:ascii="Cambria" w:hAnsi="Cambria"/>
          <w:color w:val="000000" w:themeColor="text1"/>
        </w:rPr>
        <w:footnoteReference w:id="42"/>
      </w:r>
      <w:r w:rsidR="00BC39F4" w:rsidRPr="007368DB">
        <w:rPr>
          <w:rFonts w:ascii="Cambria" w:hAnsi="Cambria"/>
          <w:color w:val="000000" w:themeColor="text1"/>
        </w:rPr>
        <w:t xml:space="preserve"> </w:t>
      </w:r>
      <w:r w:rsidR="00265650" w:rsidRPr="007368DB">
        <w:rPr>
          <w:rFonts w:ascii="Cambria" w:hAnsi="Cambria"/>
          <w:color w:val="000000" w:themeColor="text1"/>
        </w:rPr>
        <w:t xml:space="preserve">Finally, we support the TLRI recommendation that police officers must record in writing the reason for effecting an arrest </w:t>
      </w:r>
      <w:r w:rsidR="00BD30EC" w:rsidRPr="007368DB">
        <w:rPr>
          <w:rFonts w:ascii="Cambria" w:hAnsi="Cambria"/>
          <w:color w:val="000000" w:themeColor="text1"/>
        </w:rPr>
        <w:t xml:space="preserve">against a vulnerable person </w:t>
      </w:r>
      <w:r w:rsidR="00265650" w:rsidRPr="007368DB">
        <w:rPr>
          <w:rFonts w:ascii="Cambria" w:hAnsi="Cambria"/>
          <w:color w:val="000000" w:themeColor="text1"/>
        </w:rPr>
        <w:t>rather than employing an alternative to arrest.</w:t>
      </w:r>
      <w:r w:rsidR="00265650" w:rsidRPr="007368DB">
        <w:rPr>
          <w:rStyle w:val="FootnoteReference"/>
          <w:rFonts w:ascii="Cambria" w:hAnsi="Cambria"/>
          <w:color w:val="000000" w:themeColor="text1"/>
        </w:rPr>
        <w:footnoteReference w:id="43"/>
      </w:r>
    </w:p>
    <w:p w:rsidR="000E146C" w:rsidRPr="007368DB" w:rsidRDefault="000E146C" w:rsidP="000E146C">
      <w:pPr>
        <w:pStyle w:val="xmsonormal"/>
        <w:shd w:val="clear" w:color="auto" w:fill="FFFFFF"/>
        <w:spacing w:before="0" w:beforeAutospacing="0" w:after="0" w:afterAutospacing="0"/>
        <w:jc w:val="both"/>
        <w:rPr>
          <w:rFonts w:ascii="Cambria" w:hAnsi="Cambria"/>
          <w:color w:val="000000" w:themeColor="text1"/>
        </w:rPr>
      </w:pPr>
    </w:p>
    <w:p w:rsidR="000E146C" w:rsidRPr="007368DB" w:rsidRDefault="000E146C" w:rsidP="000E146C">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rPr>
      </w:pPr>
      <w:r w:rsidRPr="007368DB">
        <w:rPr>
          <w:rFonts w:ascii="Cambria" w:hAnsi="Cambria"/>
          <w:b/>
          <w:bCs/>
          <w:color w:val="000000" w:themeColor="text1"/>
        </w:rPr>
        <w:t>Recommendation:</w:t>
      </w:r>
      <w:r w:rsidRPr="007368DB">
        <w:rPr>
          <w:rFonts w:ascii="Cambria" w:hAnsi="Cambria"/>
          <w:color w:val="000000" w:themeColor="text1"/>
        </w:rPr>
        <w:t xml:space="preserve"> That vulnerable persons</w:t>
      </w:r>
      <w:r w:rsidR="002039A2" w:rsidRPr="007368DB">
        <w:rPr>
          <w:rFonts w:ascii="Cambria" w:hAnsi="Cambria"/>
          <w:color w:val="000000" w:themeColor="text1"/>
        </w:rPr>
        <w:t xml:space="preserve"> </w:t>
      </w:r>
      <w:r w:rsidRPr="007368DB">
        <w:rPr>
          <w:rFonts w:ascii="Cambria" w:hAnsi="Cambria"/>
          <w:color w:val="000000" w:themeColor="text1"/>
        </w:rPr>
        <w:t xml:space="preserve">including Aboriginal and Torres </w:t>
      </w:r>
      <w:r w:rsidR="00A94C40" w:rsidRPr="007368DB">
        <w:rPr>
          <w:rFonts w:ascii="Cambria" w:hAnsi="Cambria"/>
          <w:color w:val="000000" w:themeColor="text1"/>
        </w:rPr>
        <w:t xml:space="preserve">Strait </w:t>
      </w:r>
      <w:r w:rsidRPr="007368DB">
        <w:rPr>
          <w:rFonts w:ascii="Cambria" w:hAnsi="Cambria"/>
          <w:color w:val="000000" w:themeColor="text1"/>
        </w:rPr>
        <w:t>Islander persons, young persons, persons who have impaired intellectual or physical functioning and persons of non-English speaking backgrounds are afforded greater protections</w:t>
      </w:r>
      <w:r w:rsidR="00161167" w:rsidRPr="007368DB">
        <w:rPr>
          <w:rFonts w:ascii="Cambria" w:hAnsi="Cambria"/>
          <w:color w:val="000000" w:themeColor="text1"/>
        </w:rPr>
        <w:t xml:space="preserve"> in the Act</w:t>
      </w:r>
      <w:r w:rsidRPr="007368DB">
        <w:rPr>
          <w:rFonts w:ascii="Cambria" w:hAnsi="Cambria"/>
          <w:color w:val="000000" w:themeColor="text1"/>
        </w:rPr>
        <w:t xml:space="preserve">.    </w:t>
      </w:r>
    </w:p>
    <w:p w:rsidR="00356676" w:rsidRPr="007368DB" w:rsidRDefault="00356676" w:rsidP="00C2739F">
      <w:pPr>
        <w:ind w:right="-347"/>
        <w:jc w:val="both"/>
        <w:rPr>
          <w:rFonts w:ascii="Cambria" w:hAnsi="Cambria"/>
          <w:color w:val="000000" w:themeColor="text1"/>
        </w:rPr>
      </w:pPr>
    </w:p>
    <w:p w:rsidR="00FB0490" w:rsidRPr="007368DB" w:rsidRDefault="00CF65F3" w:rsidP="00C2739F">
      <w:pPr>
        <w:ind w:right="-347"/>
        <w:jc w:val="both"/>
        <w:rPr>
          <w:rFonts w:ascii="Cambria" w:hAnsi="Cambria"/>
          <w:color w:val="000000" w:themeColor="text1"/>
        </w:rPr>
      </w:pPr>
      <w:r w:rsidRPr="007368DB">
        <w:rPr>
          <w:rFonts w:ascii="Cambria" w:hAnsi="Cambria"/>
          <w:color w:val="000000" w:themeColor="text1"/>
        </w:rPr>
        <w:t>If you have any</w:t>
      </w:r>
      <w:r w:rsidR="00FB0490" w:rsidRPr="007368DB">
        <w:rPr>
          <w:rFonts w:ascii="Cambria" w:hAnsi="Cambria"/>
          <w:color w:val="000000" w:themeColor="text1"/>
        </w:rPr>
        <w:t xml:space="preserve"> queries, or we can be of any further assistance, please do not hesitate to contact us. </w:t>
      </w:r>
    </w:p>
    <w:p w:rsidR="00FB0490" w:rsidRPr="007368DB" w:rsidRDefault="00FB0490" w:rsidP="00C2739F">
      <w:pPr>
        <w:ind w:right="-347"/>
        <w:jc w:val="both"/>
        <w:rPr>
          <w:rFonts w:ascii="Cambria" w:hAnsi="Cambria"/>
          <w:color w:val="000000" w:themeColor="text1"/>
        </w:rPr>
      </w:pPr>
    </w:p>
    <w:p w:rsidR="00FB0490" w:rsidRPr="007368DB" w:rsidRDefault="00FB0490" w:rsidP="00C2739F">
      <w:pPr>
        <w:ind w:right="-347"/>
        <w:jc w:val="both"/>
        <w:rPr>
          <w:rFonts w:ascii="Cambria" w:hAnsi="Cambria"/>
          <w:color w:val="000000" w:themeColor="text1"/>
        </w:rPr>
      </w:pPr>
      <w:r w:rsidRPr="007368DB">
        <w:rPr>
          <w:rFonts w:ascii="Cambria" w:hAnsi="Cambria"/>
          <w:color w:val="000000" w:themeColor="text1"/>
        </w:rPr>
        <w:t xml:space="preserve">Yours faithfully, </w:t>
      </w:r>
    </w:p>
    <w:p w:rsidR="00FB0490" w:rsidRPr="007368DB" w:rsidRDefault="00FB0490" w:rsidP="00C2739F">
      <w:pPr>
        <w:ind w:right="-347"/>
        <w:jc w:val="both"/>
        <w:rPr>
          <w:rFonts w:ascii="Cambria" w:hAnsi="Cambria"/>
          <w:color w:val="000000" w:themeColor="text1"/>
        </w:rPr>
      </w:pPr>
    </w:p>
    <w:p w:rsidR="00FB0490" w:rsidRPr="007368DB" w:rsidRDefault="00FB0490" w:rsidP="00C2739F">
      <w:pPr>
        <w:ind w:right="-347"/>
        <w:jc w:val="both"/>
        <w:rPr>
          <w:rFonts w:ascii="Cambria" w:hAnsi="Cambria"/>
          <w:color w:val="000000" w:themeColor="text1"/>
        </w:rPr>
      </w:pPr>
    </w:p>
    <w:p w:rsidR="00FB0490" w:rsidRPr="007368DB" w:rsidRDefault="00FB0490" w:rsidP="00C2739F">
      <w:pPr>
        <w:ind w:right="-347"/>
        <w:jc w:val="both"/>
        <w:rPr>
          <w:rFonts w:ascii="Cambria" w:hAnsi="Cambria"/>
          <w:color w:val="000000" w:themeColor="text1"/>
        </w:rPr>
      </w:pPr>
    </w:p>
    <w:p w:rsidR="00FB0490" w:rsidRPr="007368DB" w:rsidRDefault="00FB0490" w:rsidP="00C2739F">
      <w:pPr>
        <w:ind w:right="-347"/>
        <w:jc w:val="both"/>
        <w:rPr>
          <w:rFonts w:ascii="Cambria" w:hAnsi="Cambria"/>
          <w:color w:val="000000" w:themeColor="text1"/>
        </w:rPr>
      </w:pPr>
      <w:r w:rsidRPr="007368DB">
        <w:rPr>
          <w:rFonts w:ascii="Cambria" w:hAnsi="Cambria"/>
          <w:color w:val="000000" w:themeColor="text1"/>
        </w:rPr>
        <w:t xml:space="preserve">Benedict </w:t>
      </w:r>
      <w:proofErr w:type="spellStart"/>
      <w:r w:rsidRPr="007368DB">
        <w:rPr>
          <w:rFonts w:ascii="Cambria" w:hAnsi="Cambria"/>
          <w:color w:val="000000" w:themeColor="text1"/>
        </w:rPr>
        <w:t>Bartl</w:t>
      </w:r>
      <w:proofErr w:type="spellEnd"/>
    </w:p>
    <w:p w:rsidR="00FB0490" w:rsidRPr="007368DB" w:rsidRDefault="00FB0490" w:rsidP="00C2739F">
      <w:pPr>
        <w:ind w:right="-347"/>
        <w:jc w:val="both"/>
        <w:rPr>
          <w:rFonts w:ascii="Cambria" w:hAnsi="Cambria"/>
          <w:color w:val="000000" w:themeColor="text1"/>
        </w:rPr>
      </w:pPr>
      <w:r w:rsidRPr="007368DB">
        <w:rPr>
          <w:rFonts w:ascii="Cambria" w:hAnsi="Cambria"/>
          <w:color w:val="000000" w:themeColor="text1"/>
        </w:rPr>
        <w:t>Policy Officer</w:t>
      </w:r>
    </w:p>
    <w:p w:rsidR="00FB0490" w:rsidRPr="007368DB" w:rsidRDefault="00FB0490" w:rsidP="00C2739F">
      <w:pPr>
        <w:pBdr>
          <w:bottom w:val="single" w:sz="6" w:space="1" w:color="auto"/>
        </w:pBdr>
        <w:ind w:right="-347"/>
        <w:jc w:val="both"/>
        <w:rPr>
          <w:rFonts w:ascii="Cambria" w:hAnsi="Cambria"/>
          <w:b/>
          <w:bCs/>
          <w:color w:val="000000" w:themeColor="text1"/>
        </w:rPr>
      </w:pPr>
      <w:r w:rsidRPr="007368DB">
        <w:rPr>
          <w:rFonts w:ascii="Cambria" w:hAnsi="Cambria"/>
          <w:b/>
          <w:bCs/>
          <w:color w:val="000000" w:themeColor="text1"/>
        </w:rPr>
        <w:t>Community Legal Centres Tasmania</w:t>
      </w:r>
    </w:p>
    <w:p w:rsidR="009B4760" w:rsidRPr="007368DB" w:rsidRDefault="009B4760" w:rsidP="00D774AF">
      <w:pPr>
        <w:shd w:val="clear" w:color="auto" w:fill="FFFFFF"/>
        <w:rPr>
          <w:rFonts w:ascii="inherit" w:eastAsia="Times New Roman" w:hAnsi="inherit" w:cs="Calibri"/>
          <w:color w:val="000000" w:themeColor="text1"/>
          <w:kern w:val="0"/>
          <w:sz w:val="22"/>
          <w:szCs w:val="22"/>
          <w:bdr w:val="none" w:sz="0" w:space="0" w:color="auto" w:frame="1"/>
          <w:lang w:eastAsia="en-GB"/>
          <w14:ligatures w14:val="none"/>
        </w:rPr>
      </w:pPr>
    </w:p>
    <w:p w:rsidR="009B4760" w:rsidRPr="00D774AF" w:rsidRDefault="009B4760" w:rsidP="00D774AF">
      <w:pPr>
        <w:shd w:val="clear" w:color="auto" w:fill="FFFFFF"/>
        <w:rPr>
          <w:rFonts w:ascii="Calibri" w:eastAsia="Times New Roman" w:hAnsi="Calibri" w:cs="Calibri"/>
          <w:color w:val="242424"/>
          <w:kern w:val="0"/>
          <w:sz w:val="20"/>
          <w:szCs w:val="20"/>
          <w:lang w:eastAsia="en-GB"/>
          <w14:ligatures w14:val="none"/>
        </w:rPr>
      </w:pPr>
    </w:p>
    <w:p w:rsidR="00D86918" w:rsidRDefault="00D774AF" w:rsidP="009B4760">
      <w:pPr>
        <w:shd w:val="clear" w:color="auto" w:fill="FFFFFF"/>
        <w:rPr>
          <w:rFonts w:ascii="Cambria" w:hAnsi="Cambria"/>
        </w:rPr>
      </w:pPr>
      <w:r w:rsidRPr="00D774AF">
        <w:rPr>
          <w:rFonts w:ascii="inherit" w:eastAsia="Times New Roman" w:hAnsi="inherit" w:cs="Calibri"/>
          <w:color w:val="242424"/>
          <w:kern w:val="0"/>
          <w:sz w:val="22"/>
          <w:szCs w:val="22"/>
          <w:bdr w:val="none" w:sz="0" w:space="0" w:color="auto" w:frame="1"/>
          <w:lang w:eastAsia="en-GB"/>
          <w14:ligatures w14:val="none"/>
        </w:rPr>
        <w:t> </w:t>
      </w:r>
    </w:p>
    <w:p w:rsidR="00D86918" w:rsidRPr="007E7E89" w:rsidRDefault="00D86918" w:rsidP="00C2739F">
      <w:pPr>
        <w:ind w:right="-347"/>
        <w:jc w:val="both"/>
        <w:rPr>
          <w:rFonts w:ascii="Cambria" w:hAnsi="Cambria"/>
        </w:rPr>
      </w:pPr>
    </w:p>
    <w:sectPr w:rsidR="00D86918" w:rsidRPr="007E7E89" w:rsidSect="00215FC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5EB" w:rsidRDefault="007735EB" w:rsidP="00F65D4C">
      <w:r>
        <w:separator/>
      </w:r>
    </w:p>
  </w:endnote>
  <w:endnote w:type="continuationSeparator" w:id="0">
    <w:p w:rsidR="007735EB" w:rsidRDefault="007735EB" w:rsidP="00F6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9477339"/>
      <w:docPartObj>
        <w:docPartGallery w:val="Page Numbers (Bottom of Page)"/>
        <w:docPartUnique/>
      </w:docPartObj>
    </w:sdtPr>
    <w:sdtContent>
      <w:p w:rsidR="000D56DB" w:rsidRDefault="000D56DB" w:rsidP="00C63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D56DB" w:rsidRDefault="000D56DB" w:rsidP="000D5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6217557"/>
      <w:docPartObj>
        <w:docPartGallery w:val="Page Numbers (Bottom of Page)"/>
        <w:docPartUnique/>
      </w:docPartObj>
    </w:sdtPr>
    <w:sdtContent>
      <w:p w:rsidR="000D56DB" w:rsidRDefault="000D56DB" w:rsidP="00C63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D56DB" w:rsidRDefault="000D56DB" w:rsidP="000D56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5EB" w:rsidRDefault="007735EB" w:rsidP="00F65D4C">
      <w:r>
        <w:separator/>
      </w:r>
    </w:p>
  </w:footnote>
  <w:footnote w:type="continuationSeparator" w:id="0">
    <w:p w:rsidR="007735EB" w:rsidRDefault="007735EB" w:rsidP="00F65D4C">
      <w:r>
        <w:continuationSeparator/>
      </w:r>
    </w:p>
  </w:footnote>
  <w:footnote w:id="1">
    <w:p w:rsidR="00F65D4C" w:rsidRPr="007368DB" w:rsidRDefault="00F65D4C" w:rsidP="00F65D4C">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180930" w:rsidRPr="007368DB" w:rsidRDefault="00180930" w:rsidP="00180930">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Tasmanian Government, </w:t>
      </w:r>
      <w:r w:rsidRPr="007368DB">
        <w:rPr>
          <w:rFonts w:ascii="Cambria" w:hAnsi="Cambria"/>
          <w:i/>
          <w:iCs/>
          <w:color w:val="000000" w:themeColor="text1"/>
          <w:sz w:val="20"/>
          <w:szCs w:val="20"/>
        </w:rPr>
        <w:t xml:space="preserve">Police Powers and Responsibilities Act – Proposal Paper </w:t>
      </w:r>
      <w:r w:rsidRPr="007368DB">
        <w:rPr>
          <w:rFonts w:ascii="Cambria" w:hAnsi="Cambria"/>
          <w:color w:val="000000" w:themeColor="text1"/>
          <w:sz w:val="20"/>
          <w:szCs w:val="20"/>
        </w:rPr>
        <w:t>(November 2024) at 4.</w:t>
      </w:r>
      <w:r w:rsidRPr="007368DB">
        <w:rPr>
          <w:rFonts w:ascii="Cambria" w:hAnsi="Cambria"/>
          <w:i/>
          <w:iCs/>
          <w:color w:val="000000" w:themeColor="text1"/>
          <w:sz w:val="20"/>
          <w:szCs w:val="20"/>
        </w:rPr>
        <w:t xml:space="preserve"> </w:t>
      </w:r>
    </w:p>
  </w:footnote>
  <w:footnote w:id="3">
    <w:p w:rsidR="00C814B9" w:rsidRPr="007368DB" w:rsidRDefault="00C814B9">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Law Reform Commission, </w:t>
      </w:r>
      <w:r w:rsidRPr="007368DB">
        <w:rPr>
          <w:rFonts w:ascii="Cambria" w:hAnsi="Cambria"/>
          <w:i/>
          <w:iCs/>
          <w:color w:val="000000" w:themeColor="text1"/>
          <w:sz w:val="20"/>
          <w:szCs w:val="20"/>
        </w:rPr>
        <w:t>Report on Powers of Arrest, Search and Bail</w:t>
      </w:r>
      <w:r w:rsidR="00CF65F3" w:rsidRPr="007368DB">
        <w:rPr>
          <w:rFonts w:ascii="Cambria" w:hAnsi="Cambria"/>
          <w:color w:val="000000" w:themeColor="text1"/>
          <w:sz w:val="20"/>
          <w:szCs w:val="20"/>
        </w:rPr>
        <w:t xml:space="preserve"> (</w:t>
      </w:r>
      <w:r w:rsidRPr="007368DB">
        <w:rPr>
          <w:rFonts w:ascii="Cambria" w:hAnsi="Cambria"/>
          <w:color w:val="000000" w:themeColor="text1"/>
          <w:sz w:val="20"/>
          <w:szCs w:val="20"/>
        </w:rPr>
        <w:t>1977</w:t>
      </w:r>
      <w:r w:rsidR="00CF65F3" w:rsidRPr="007368DB">
        <w:rPr>
          <w:rFonts w:ascii="Cambria" w:hAnsi="Cambria"/>
          <w:color w:val="000000" w:themeColor="text1"/>
          <w:sz w:val="20"/>
          <w:szCs w:val="20"/>
        </w:rPr>
        <w:t>)</w:t>
      </w:r>
      <w:r w:rsidRPr="007368DB">
        <w:rPr>
          <w:rFonts w:ascii="Cambria" w:hAnsi="Cambria"/>
          <w:color w:val="000000" w:themeColor="text1"/>
          <w:sz w:val="20"/>
          <w:szCs w:val="20"/>
        </w:rPr>
        <w:t xml:space="preserve">. </w:t>
      </w:r>
    </w:p>
  </w:footnote>
  <w:footnote w:id="4">
    <w:p w:rsidR="00C814B9" w:rsidRPr="007368DB" w:rsidRDefault="00C814B9">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at 22.   </w:t>
      </w:r>
    </w:p>
  </w:footnote>
  <w:footnote w:id="5">
    <w:p w:rsidR="00C814B9" w:rsidRPr="007368DB" w:rsidRDefault="00C814B9">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at 22.   </w:t>
      </w:r>
    </w:p>
  </w:footnote>
  <w:footnote w:id="6">
    <w:p w:rsidR="00CF65F3" w:rsidRPr="007368DB" w:rsidRDefault="00CF65F3">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at 14.   </w:t>
      </w:r>
    </w:p>
  </w:footnote>
  <w:footnote w:id="7">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4A(2), (6A)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w:t>
      </w:r>
    </w:p>
  </w:footnote>
  <w:footnote w:id="8">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6B(1)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6C(5)-(7)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7(3)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7A(3)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7B(2)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13(3AAA)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13A(2B)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13B(1A)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13C(1A)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14B(5)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21A(2)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37I(2)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w:t>
      </w:r>
    </w:p>
  </w:footnote>
  <w:footnote w:id="9">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15F(4)-(5)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37N(6)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w:t>
      </w:r>
    </w:p>
  </w:footnote>
  <w:footnote w:id="10">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15C(2)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15CA(6)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19A(1B)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w:t>
      </w:r>
    </w:p>
  </w:footnote>
  <w:footnote w:id="11">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55(2B)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55(2D)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55(2E)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section 58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 </w:t>
      </w:r>
    </w:p>
  </w:footnote>
  <w:footnote w:id="12">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58A(1) of the </w:t>
      </w:r>
      <w:r w:rsidRPr="007368DB">
        <w:rPr>
          <w:rFonts w:ascii="Cambria" w:hAnsi="Cambria"/>
          <w:i/>
          <w:iCs/>
          <w:color w:val="000000" w:themeColor="text1"/>
          <w:sz w:val="20"/>
          <w:szCs w:val="20"/>
        </w:rPr>
        <w:t>Police Offences Act 1935</w:t>
      </w:r>
      <w:r w:rsidRPr="007368DB">
        <w:rPr>
          <w:rFonts w:ascii="Cambria" w:hAnsi="Cambria"/>
          <w:color w:val="000000" w:themeColor="text1"/>
          <w:sz w:val="20"/>
          <w:szCs w:val="20"/>
        </w:rPr>
        <w:t xml:space="preserve"> (Tas).</w:t>
      </w:r>
    </w:p>
  </w:footnote>
  <w:footnote w:id="13">
    <w:p w:rsidR="009C2CF6" w:rsidRPr="007368DB" w:rsidRDefault="009C2CF6" w:rsidP="009C2CF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at v.   </w:t>
      </w:r>
    </w:p>
  </w:footnote>
  <w:footnote w:id="14">
    <w:p w:rsidR="00CB4928" w:rsidRPr="007368DB" w:rsidRDefault="00CB4928">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w:t>
      </w:r>
      <w:proofErr w:type="spellStart"/>
      <w:r w:rsidRPr="007368DB">
        <w:rPr>
          <w:rFonts w:ascii="Cambria" w:hAnsi="Cambria"/>
          <w:i/>
          <w:iCs/>
          <w:color w:val="000000" w:themeColor="text1"/>
          <w:sz w:val="20"/>
          <w:szCs w:val="20"/>
        </w:rPr>
        <w:t>Gow</w:t>
      </w:r>
      <w:proofErr w:type="spellEnd"/>
      <w:r w:rsidRPr="007368DB">
        <w:rPr>
          <w:rFonts w:ascii="Cambria" w:hAnsi="Cambria"/>
          <w:i/>
          <w:iCs/>
          <w:color w:val="000000" w:themeColor="text1"/>
          <w:sz w:val="20"/>
          <w:szCs w:val="20"/>
        </w:rPr>
        <w:t xml:space="preserve"> v Davies</w:t>
      </w:r>
      <w:r w:rsidRPr="007368DB">
        <w:rPr>
          <w:rFonts w:ascii="Cambria" w:hAnsi="Cambria"/>
          <w:color w:val="000000" w:themeColor="text1"/>
          <w:sz w:val="20"/>
          <w:szCs w:val="20"/>
        </w:rPr>
        <w:t xml:space="preserve"> [1992] 1 Tas R 1.</w:t>
      </w:r>
    </w:p>
  </w:footnote>
  <w:footnote w:id="15">
    <w:p w:rsidR="00CB4928" w:rsidRPr="007368DB" w:rsidRDefault="00CB4928">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at 53.</w:t>
      </w:r>
    </w:p>
  </w:footnote>
  <w:footnote w:id="16">
    <w:p w:rsidR="00A24E7D" w:rsidRPr="007368DB" w:rsidRDefault="00A24E7D">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recommendation 9.</w:t>
      </w:r>
    </w:p>
  </w:footnote>
  <w:footnote w:id="17">
    <w:p w:rsidR="007E7E89" w:rsidRPr="007368DB" w:rsidRDefault="007E7E89">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recommendation 5. </w:t>
      </w:r>
    </w:p>
  </w:footnote>
  <w:footnote w:id="18">
    <w:p w:rsidR="007E7E89" w:rsidRPr="007368DB" w:rsidRDefault="007E7E89">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99 of the </w:t>
      </w:r>
      <w:r w:rsidRPr="007368DB">
        <w:rPr>
          <w:rFonts w:ascii="Cambria" w:hAnsi="Cambria"/>
          <w:i/>
          <w:iCs/>
          <w:color w:val="000000" w:themeColor="text1"/>
          <w:sz w:val="20"/>
          <w:szCs w:val="20"/>
        </w:rPr>
        <w:t>Law Enforcement (Powers and Responsibilities) Act 2002</w:t>
      </w:r>
      <w:r w:rsidRPr="007368DB">
        <w:rPr>
          <w:rFonts w:ascii="Cambria" w:hAnsi="Cambria"/>
          <w:color w:val="000000" w:themeColor="text1"/>
          <w:sz w:val="20"/>
          <w:szCs w:val="20"/>
        </w:rPr>
        <w:t> (NSW).</w:t>
      </w:r>
    </w:p>
  </w:footnote>
  <w:footnote w:id="19">
    <w:p w:rsidR="00161167" w:rsidRPr="007368DB" w:rsidRDefault="00161167">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Sections 382-390 of the </w:t>
      </w:r>
      <w:r w:rsidRPr="007368DB">
        <w:rPr>
          <w:rFonts w:ascii="Cambria" w:hAnsi="Cambria"/>
          <w:i/>
          <w:iCs/>
          <w:color w:val="000000" w:themeColor="text1"/>
          <w:sz w:val="20"/>
          <w:szCs w:val="20"/>
        </w:rPr>
        <w:t>Police Powers and Responsibilities Act 2000</w:t>
      </w:r>
      <w:r w:rsidRPr="007368DB">
        <w:rPr>
          <w:rFonts w:ascii="Cambria" w:hAnsi="Cambria"/>
          <w:color w:val="000000" w:themeColor="text1"/>
          <w:sz w:val="20"/>
          <w:szCs w:val="20"/>
        </w:rPr>
        <w:t xml:space="preserve"> (Qld) and sections 133A-133E of the </w:t>
      </w:r>
      <w:r w:rsidRPr="007368DB">
        <w:rPr>
          <w:rFonts w:ascii="Cambria" w:hAnsi="Cambria"/>
          <w:i/>
          <w:iCs/>
          <w:color w:val="000000" w:themeColor="text1"/>
          <w:sz w:val="20"/>
          <w:szCs w:val="20"/>
        </w:rPr>
        <w:t>Police Administration Act 2007</w:t>
      </w:r>
      <w:r w:rsidRPr="007368DB">
        <w:rPr>
          <w:rFonts w:ascii="Cambria" w:hAnsi="Cambria"/>
          <w:color w:val="000000" w:themeColor="text1"/>
          <w:sz w:val="20"/>
          <w:szCs w:val="20"/>
        </w:rPr>
        <w:t xml:space="preserve"> (NT). </w:t>
      </w:r>
    </w:p>
  </w:footnote>
  <w:footnote w:id="20">
    <w:p w:rsidR="00286FBF" w:rsidRPr="007368DB" w:rsidRDefault="00286FBF">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32 of the </w:t>
      </w:r>
      <w:r w:rsidRPr="007368DB">
        <w:rPr>
          <w:rFonts w:ascii="Cambria" w:hAnsi="Cambria"/>
          <w:i/>
          <w:iCs/>
          <w:color w:val="000000" w:themeColor="text1"/>
          <w:sz w:val="20"/>
          <w:szCs w:val="20"/>
        </w:rPr>
        <w:t>Justices Act 1959</w:t>
      </w:r>
      <w:r w:rsidRPr="007368DB">
        <w:rPr>
          <w:rFonts w:ascii="Cambria" w:hAnsi="Cambria"/>
          <w:color w:val="000000" w:themeColor="text1"/>
          <w:sz w:val="20"/>
          <w:szCs w:val="20"/>
        </w:rPr>
        <w:t xml:space="preserve"> (Tas). </w:t>
      </w:r>
    </w:p>
  </w:footnote>
  <w:footnote w:id="21">
    <w:p w:rsidR="00161167" w:rsidRPr="007368DB" w:rsidRDefault="00161167">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May 2011) at 80.</w:t>
      </w:r>
    </w:p>
  </w:footnote>
  <w:footnote w:id="22">
    <w:p w:rsidR="007E7E89" w:rsidRPr="007368DB" w:rsidRDefault="007E7E89">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202 of the </w:t>
      </w:r>
      <w:r w:rsidRPr="007368DB">
        <w:rPr>
          <w:rFonts w:ascii="Cambria" w:hAnsi="Cambria"/>
          <w:i/>
          <w:iCs/>
          <w:color w:val="000000" w:themeColor="text1"/>
          <w:sz w:val="20"/>
          <w:szCs w:val="20"/>
        </w:rPr>
        <w:t>Law Enforcement (Powers and Responsibilities) Act 2002</w:t>
      </w:r>
      <w:r w:rsidRPr="007368DB">
        <w:rPr>
          <w:rFonts w:ascii="Cambria" w:hAnsi="Cambria"/>
          <w:color w:val="000000" w:themeColor="text1"/>
          <w:sz w:val="20"/>
          <w:szCs w:val="20"/>
        </w:rPr>
        <w:t xml:space="preserve"> (NSW). See also section 637 of the </w:t>
      </w:r>
      <w:r w:rsidRPr="007368DB">
        <w:rPr>
          <w:rFonts w:ascii="Cambria" w:hAnsi="Cambria"/>
          <w:i/>
          <w:iCs/>
          <w:color w:val="000000" w:themeColor="text1"/>
          <w:sz w:val="20"/>
          <w:szCs w:val="20"/>
        </w:rPr>
        <w:t>Police Powers and Responsibilities Act 2000</w:t>
      </w:r>
      <w:r w:rsidRPr="007368DB">
        <w:rPr>
          <w:rFonts w:ascii="Cambria" w:hAnsi="Cambria"/>
          <w:color w:val="000000" w:themeColor="text1"/>
          <w:sz w:val="20"/>
          <w:szCs w:val="20"/>
        </w:rPr>
        <w:t xml:space="preserve"> (Qld).</w:t>
      </w:r>
      <w:r w:rsidRPr="007368DB">
        <w:rPr>
          <w:rFonts w:ascii="Cambria" w:hAnsi="Cambria"/>
          <w:b/>
          <w:bCs/>
          <w:color w:val="000000" w:themeColor="text1"/>
          <w:sz w:val="20"/>
          <w:szCs w:val="20"/>
        </w:rPr>
        <w:t xml:space="preserve"> </w:t>
      </w:r>
      <w:r w:rsidRPr="007368DB">
        <w:rPr>
          <w:rFonts w:ascii="Cambria" w:hAnsi="Cambria"/>
          <w:color w:val="000000" w:themeColor="text1"/>
          <w:sz w:val="20"/>
          <w:szCs w:val="20"/>
        </w:rPr>
        <w:t xml:space="preserve"> </w:t>
      </w:r>
    </w:p>
  </w:footnote>
  <w:footnote w:id="23">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w:t>
      </w:r>
      <w:r w:rsidRPr="007368DB">
        <w:rPr>
          <w:rFonts w:ascii="Cambria" w:hAnsi="Cambria"/>
          <w:i/>
          <w:iCs/>
          <w:color w:val="000000" w:themeColor="text1"/>
          <w:sz w:val="20"/>
          <w:szCs w:val="20"/>
        </w:rPr>
        <w:t xml:space="preserve">George v </w:t>
      </w:r>
      <w:proofErr w:type="spellStart"/>
      <w:r w:rsidRPr="007368DB">
        <w:rPr>
          <w:rFonts w:ascii="Cambria" w:hAnsi="Cambria"/>
          <w:i/>
          <w:iCs/>
          <w:color w:val="000000" w:themeColor="text1"/>
          <w:sz w:val="20"/>
          <w:szCs w:val="20"/>
        </w:rPr>
        <w:t>Rockett</w:t>
      </w:r>
      <w:proofErr w:type="spellEnd"/>
      <w:r w:rsidRPr="007368DB">
        <w:rPr>
          <w:rFonts w:ascii="Cambria" w:hAnsi="Cambria"/>
          <w:color w:val="000000" w:themeColor="text1"/>
          <w:sz w:val="20"/>
          <w:szCs w:val="20"/>
        </w:rPr>
        <w:t xml:space="preserve"> [1990] HCA 26 at para. 14.  </w:t>
      </w:r>
    </w:p>
  </w:footnote>
  <w:footnote w:id="24">
    <w:p w:rsidR="00857C56" w:rsidRPr="007368DB" w:rsidRDefault="00857C56" w:rsidP="00857C5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at 44. </w:t>
      </w:r>
    </w:p>
  </w:footnote>
  <w:footnote w:id="25">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at 54.</w:t>
      </w:r>
    </w:p>
  </w:footnote>
  <w:footnote w:id="26">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Sections 26, 30, 31 and 32 of the </w:t>
      </w:r>
      <w:r w:rsidRPr="007368DB">
        <w:rPr>
          <w:rFonts w:ascii="Cambria" w:hAnsi="Cambria"/>
          <w:i/>
          <w:iCs/>
          <w:color w:val="000000" w:themeColor="text1"/>
          <w:sz w:val="20"/>
          <w:szCs w:val="20"/>
        </w:rPr>
        <w:t>Criminal Code Act 1924</w:t>
      </w:r>
      <w:r w:rsidRPr="007368DB">
        <w:rPr>
          <w:rFonts w:ascii="Cambria" w:hAnsi="Cambria"/>
          <w:color w:val="000000" w:themeColor="text1"/>
          <w:sz w:val="20"/>
          <w:szCs w:val="20"/>
        </w:rPr>
        <w:t xml:space="preserve"> (Tas). </w:t>
      </w:r>
    </w:p>
  </w:footnote>
  <w:footnote w:id="27">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at 54.</w:t>
      </w:r>
    </w:p>
  </w:footnote>
  <w:footnote w:id="28">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See, for example, section 3ZC of the </w:t>
      </w:r>
      <w:r w:rsidRPr="007368DB">
        <w:rPr>
          <w:rFonts w:ascii="Cambria" w:hAnsi="Cambria"/>
          <w:i/>
          <w:iCs/>
          <w:color w:val="000000" w:themeColor="text1"/>
          <w:sz w:val="20"/>
          <w:szCs w:val="20"/>
        </w:rPr>
        <w:t>Crimes Act 1914</w:t>
      </w:r>
      <w:r w:rsidRPr="007368DB">
        <w:rPr>
          <w:rFonts w:ascii="Cambria" w:hAnsi="Cambria"/>
          <w:color w:val="000000" w:themeColor="text1"/>
          <w:sz w:val="20"/>
          <w:szCs w:val="20"/>
        </w:rPr>
        <w:t xml:space="preserve"> (</w:t>
      </w:r>
      <w:proofErr w:type="spellStart"/>
      <w:r w:rsidRPr="007368DB">
        <w:rPr>
          <w:rFonts w:ascii="Cambria" w:hAnsi="Cambria"/>
          <w:color w:val="000000" w:themeColor="text1"/>
          <w:sz w:val="20"/>
          <w:szCs w:val="20"/>
        </w:rPr>
        <w:t>Cth</w:t>
      </w:r>
      <w:proofErr w:type="spellEnd"/>
      <w:r w:rsidRPr="007368DB">
        <w:rPr>
          <w:rFonts w:ascii="Cambria" w:hAnsi="Cambria"/>
          <w:color w:val="000000" w:themeColor="text1"/>
          <w:sz w:val="20"/>
          <w:szCs w:val="20"/>
        </w:rPr>
        <w:t xml:space="preserve">) and 462A of the </w:t>
      </w:r>
      <w:r w:rsidRPr="007368DB">
        <w:rPr>
          <w:rFonts w:ascii="Cambria" w:hAnsi="Cambria"/>
          <w:i/>
          <w:iCs/>
          <w:color w:val="000000" w:themeColor="text1"/>
          <w:sz w:val="20"/>
          <w:szCs w:val="20"/>
        </w:rPr>
        <w:t>Crimes Act 1958</w:t>
      </w:r>
      <w:r w:rsidRPr="007368DB">
        <w:rPr>
          <w:rFonts w:ascii="Cambria" w:hAnsi="Cambria"/>
          <w:color w:val="000000" w:themeColor="text1"/>
          <w:sz w:val="20"/>
          <w:szCs w:val="20"/>
        </w:rPr>
        <w:t xml:space="preserve"> (Vic). </w:t>
      </w:r>
    </w:p>
  </w:footnote>
  <w:footnote w:id="29">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3ZC of the </w:t>
      </w:r>
      <w:r w:rsidRPr="007368DB">
        <w:rPr>
          <w:rFonts w:ascii="Cambria" w:hAnsi="Cambria"/>
          <w:i/>
          <w:iCs/>
          <w:color w:val="000000" w:themeColor="text1"/>
          <w:sz w:val="20"/>
          <w:szCs w:val="20"/>
        </w:rPr>
        <w:t>Crimes Act 1914</w:t>
      </w:r>
      <w:r w:rsidRPr="007368DB">
        <w:rPr>
          <w:rFonts w:ascii="Cambria" w:hAnsi="Cambria"/>
          <w:color w:val="000000" w:themeColor="text1"/>
          <w:sz w:val="20"/>
          <w:szCs w:val="20"/>
        </w:rPr>
        <w:t xml:space="preserve"> (</w:t>
      </w:r>
      <w:proofErr w:type="spellStart"/>
      <w:r w:rsidRPr="007368DB">
        <w:rPr>
          <w:rFonts w:ascii="Cambria" w:hAnsi="Cambria"/>
          <w:color w:val="000000" w:themeColor="text1"/>
          <w:sz w:val="20"/>
          <w:szCs w:val="20"/>
        </w:rPr>
        <w:t>Cth</w:t>
      </w:r>
      <w:proofErr w:type="spellEnd"/>
      <w:r w:rsidRPr="007368DB">
        <w:rPr>
          <w:rFonts w:ascii="Cambria" w:hAnsi="Cambria"/>
          <w:color w:val="000000" w:themeColor="text1"/>
          <w:sz w:val="20"/>
          <w:szCs w:val="20"/>
        </w:rPr>
        <w:t xml:space="preserve">) and section 462A of the </w:t>
      </w:r>
      <w:r w:rsidRPr="007368DB">
        <w:rPr>
          <w:rFonts w:ascii="Cambria" w:hAnsi="Cambria"/>
          <w:i/>
          <w:iCs/>
          <w:color w:val="000000" w:themeColor="text1"/>
          <w:sz w:val="20"/>
          <w:szCs w:val="20"/>
        </w:rPr>
        <w:t>Crimes Act 1958</w:t>
      </w:r>
      <w:r w:rsidRPr="007368DB">
        <w:rPr>
          <w:rFonts w:ascii="Cambria" w:hAnsi="Cambria"/>
          <w:color w:val="000000" w:themeColor="text1"/>
          <w:sz w:val="20"/>
          <w:szCs w:val="20"/>
        </w:rPr>
        <w:t xml:space="preserve"> (Vic).</w:t>
      </w:r>
    </w:p>
  </w:footnote>
  <w:footnote w:id="30">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3ZC of the </w:t>
      </w:r>
      <w:r w:rsidRPr="007368DB">
        <w:rPr>
          <w:rFonts w:ascii="Cambria" w:hAnsi="Cambria"/>
          <w:i/>
          <w:iCs/>
          <w:color w:val="000000" w:themeColor="text1"/>
          <w:sz w:val="20"/>
          <w:szCs w:val="20"/>
        </w:rPr>
        <w:t>Crimes Act 1914</w:t>
      </w:r>
      <w:r w:rsidRPr="007368DB">
        <w:rPr>
          <w:rFonts w:ascii="Cambria" w:hAnsi="Cambria"/>
          <w:color w:val="000000" w:themeColor="text1"/>
          <w:sz w:val="20"/>
          <w:szCs w:val="20"/>
        </w:rPr>
        <w:t xml:space="preserve"> (</w:t>
      </w:r>
      <w:proofErr w:type="spellStart"/>
      <w:r w:rsidRPr="007368DB">
        <w:rPr>
          <w:rFonts w:ascii="Cambria" w:hAnsi="Cambria"/>
          <w:color w:val="000000" w:themeColor="text1"/>
          <w:sz w:val="20"/>
          <w:szCs w:val="20"/>
        </w:rPr>
        <w:t>Cth</w:t>
      </w:r>
      <w:proofErr w:type="spellEnd"/>
      <w:r w:rsidRPr="007368DB">
        <w:rPr>
          <w:rFonts w:ascii="Cambria" w:hAnsi="Cambria"/>
          <w:color w:val="000000" w:themeColor="text1"/>
          <w:sz w:val="20"/>
          <w:szCs w:val="20"/>
        </w:rPr>
        <w:t xml:space="preserve">). </w:t>
      </w:r>
    </w:p>
  </w:footnote>
  <w:footnote w:id="31">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recommendation 10.</w:t>
      </w:r>
    </w:p>
  </w:footnote>
  <w:footnote w:id="32">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635 of the </w:t>
      </w:r>
      <w:r w:rsidRPr="007368DB">
        <w:rPr>
          <w:rFonts w:ascii="Cambria" w:hAnsi="Cambria"/>
          <w:i/>
          <w:color w:val="000000" w:themeColor="text1"/>
          <w:sz w:val="20"/>
          <w:szCs w:val="20"/>
        </w:rPr>
        <w:t>Police Powers and Responsibilities Act 2000</w:t>
      </w:r>
      <w:r w:rsidRPr="007368DB">
        <w:rPr>
          <w:rFonts w:ascii="Cambria" w:hAnsi="Cambria"/>
          <w:iCs/>
          <w:color w:val="000000" w:themeColor="text1"/>
          <w:sz w:val="20"/>
          <w:szCs w:val="20"/>
        </w:rPr>
        <w:t xml:space="preserve"> (Qld).</w:t>
      </w:r>
    </w:p>
  </w:footnote>
  <w:footnote w:id="33">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637 of the </w:t>
      </w:r>
      <w:r w:rsidRPr="007368DB">
        <w:rPr>
          <w:rFonts w:ascii="Cambria" w:hAnsi="Cambria"/>
          <w:i/>
          <w:color w:val="000000" w:themeColor="text1"/>
          <w:sz w:val="20"/>
          <w:szCs w:val="20"/>
        </w:rPr>
        <w:t>Police Powers and Responsibilities Act 2000</w:t>
      </w:r>
      <w:r w:rsidRPr="007368DB">
        <w:rPr>
          <w:rFonts w:ascii="Cambria" w:hAnsi="Cambria"/>
          <w:iCs/>
          <w:color w:val="000000" w:themeColor="text1"/>
          <w:sz w:val="20"/>
          <w:szCs w:val="20"/>
        </w:rPr>
        <w:t xml:space="preserve"> (Qld).</w:t>
      </w:r>
    </w:p>
  </w:footnote>
  <w:footnote w:id="34">
    <w:p w:rsidR="00356676" w:rsidRPr="007368DB" w:rsidRDefault="00356676" w:rsidP="0035667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at 62.</w:t>
      </w:r>
    </w:p>
  </w:footnote>
  <w:footnote w:id="35">
    <w:p w:rsidR="00766C82" w:rsidRPr="007368DB" w:rsidRDefault="00766C82">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Section 3 of the </w:t>
      </w:r>
      <w:r w:rsidRPr="007368DB">
        <w:rPr>
          <w:rFonts w:ascii="Cambria" w:hAnsi="Cambria"/>
          <w:i/>
          <w:iCs/>
          <w:color w:val="000000" w:themeColor="text1"/>
          <w:sz w:val="20"/>
          <w:szCs w:val="20"/>
        </w:rPr>
        <w:t>Family Violence Act 2004</w:t>
      </w:r>
      <w:r w:rsidRPr="007368DB">
        <w:rPr>
          <w:rFonts w:ascii="Cambria" w:hAnsi="Cambria"/>
          <w:color w:val="000000" w:themeColor="text1"/>
          <w:sz w:val="20"/>
          <w:szCs w:val="20"/>
        </w:rPr>
        <w:t xml:space="preserve"> (Tas). </w:t>
      </w:r>
    </w:p>
  </w:footnote>
  <w:footnote w:id="36">
    <w:p w:rsidR="00766C82" w:rsidRPr="007368DB" w:rsidRDefault="00766C82">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at 28.</w:t>
      </w:r>
    </w:p>
  </w:footnote>
  <w:footnote w:id="37">
    <w:p w:rsidR="007E4316" w:rsidRPr="007368DB" w:rsidRDefault="007E431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recommendation 7.</w:t>
      </w:r>
    </w:p>
  </w:footnote>
  <w:footnote w:id="38">
    <w:p w:rsidR="00FE6074" w:rsidRPr="007368DB" w:rsidRDefault="00FE6074">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w:t>
      </w:r>
      <w:r w:rsidRPr="007368DB">
        <w:rPr>
          <w:rFonts w:ascii="Cambria" w:hAnsi="Cambria"/>
          <w:iCs/>
          <w:color w:val="000000" w:themeColor="text1"/>
          <w:sz w:val="20"/>
          <w:szCs w:val="20"/>
        </w:rPr>
        <w:t xml:space="preserve">Australian Bureau of Statistics, </w:t>
      </w:r>
      <w:r w:rsidRPr="007368DB">
        <w:rPr>
          <w:rFonts w:ascii="Cambria" w:hAnsi="Cambria"/>
          <w:i/>
          <w:color w:val="000000" w:themeColor="text1"/>
          <w:sz w:val="20"/>
          <w:szCs w:val="20"/>
        </w:rPr>
        <w:t>Prisoners in Australia</w:t>
      </w:r>
      <w:r w:rsidRPr="007368DB">
        <w:rPr>
          <w:rFonts w:ascii="Cambria" w:hAnsi="Cambria"/>
          <w:iCs/>
          <w:color w:val="000000" w:themeColor="text1"/>
          <w:sz w:val="20"/>
          <w:szCs w:val="20"/>
        </w:rPr>
        <w:t>, Table 15.</w:t>
      </w:r>
    </w:p>
  </w:footnote>
  <w:footnote w:id="39">
    <w:p w:rsidR="007E4316" w:rsidRPr="007368DB" w:rsidRDefault="007E431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Regulation 24 of the </w:t>
      </w:r>
      <w:r w:rsidRPr="007368DB">
        <w:rPr>
          <w:rFonts w:ascii="Cambria" w:hAnsi="Cambria"/>
          <w:i/>
          <w:iCs/>
          <w:color w:val="000000" w:themeColor="text1"/>
          <w:sz w:val="20"/>
          <w:szCs w:val="20"/>
        </w:rPr>
        <w:t>Law Enforcement (Powers and Responsibilities) Regulation 2005</w:t>
      </w:r>
      <w:r w:rsidR="00901D99" w:rsidRPr="007368DB">
        <w:rPr>
          <w:rFonts w:ascii="Cambria" w:hAnsi="Cambria"/>
          <w:color w:val="000000" w:themeColor="text1"/>
          <w:sz w:val="20"/>
          <w:szCs w:val="20"/>
        </w:rPr>
        <w:t xml:space="preserve"> (NSW)</w:t>
      </w:r>
      <w:r w:rsidRPr="007368DB">
        <w:rPr>
          <w:rFonts w:ascii="Cambria" w:hAnsi="Cambria"/>
          <w:color w:val="000000" w:themeColor="text1"/>
          <w:sz w:val="20"/>
          <w:szCs w:val="20"/>
        </w:rPr>
        <w:t>.</w:t>
      </w:r>
      <w:r w:rsidR="00E679E7" w:rsidRPr="007368DB">
        <w:rPr>
          <w:rFonts w:ascii="Cambria" w:hAnsi="Cambria"/>
          <w:color w:val="000000" w:themeColor="text1"/>
          <w:sz w:val="20"/>
          <w:szCs w:val="20"/>
        </w:rPr>
        <w:t xml:space="preserve"> </w:t>
      </w:r>
      <w:r w:rsidR="00E679E7" w:rsidRPr="007368DB">
        <w:rPr>
          <w:rFonts w:ascii="Cambria" w:hAnsi="Cambria"/>
          <w:iCs/>
          <w:color w:val="000000" w:themeColor="text1"/>
          <w:sz w:val="20"/>
          <w:szCs w:val="20"/>
        </w:rPr>
        <w:t xml:space="preserve">Similarly, in Queensland there are protections for vulnerable people including Aboriginal and Torres Strait Islander people, young people, people with impaired capacity and intoxicated persons: Division 3 of the </w:t>
      </w:r>
      <w:r w:rsidR="00E679E7" w:rsidRPr="007368DB">
        <w:rPr>
          <w:rFonts w:ascii="Cambria" w:hAnsi="Cambria"/>
          <w:i/>
          <w:color w:val="000000" w:themeColor="text1"/>
          <w:sz w:val="20"/>
          <w:szCs w:val="20"/>
        </w:rPr>
        <w:t>Police Powers and Responsibilities Act 2000</w:t>
      </w:r>
      <w:r w:rsidR="00E679E7" w:rsidRPr="007368DB">
        <w:rPr>
          <w:rFonts w:ascii="Cambria" w:hAnsi="Cambria"/>
          <w:iCs/>
          <w:color w:val="000000" w:themeColor="text1"/>
          <w:sz w:val="20"/>
          <w:szCs w:val="20"/>
        </w:rPr>
        <w:t xml:space="preserve"> (Qld).</w:t>
      </w:r>
      <w:r w:rsidR="00161167" w:rsidRPr="007368DB">
        <w:rPr>
          <w:rFonts w:ascii="Cambria" w:hAnsi="Cambria"/>
          <w:iCs/>
          <w:color w:val="000000" w:themeColor="text1"/>
          <w:sz w:val="20"/>
          <w:szCs w:val="20"/>
        </w:rPr>
        <w:t xml:space="preserve"> Also see Part IAD of the </w:t>
      </w:r>
      <w:r w:rsidR="00161167" w:rsidRPr="007368DB">
        <w:rPr>
          <w:rFonts w:ascii="Cambria" w:hAnsi="Cambria"/>
          <w:i/>
          <w:color w:val="000000" w:themeColor="text1"/>
          <w:sz w:val="20"/>
          <w:szCs w:val="20"/>
        </w:rPr>
        <w:t>Crimes Act 1914</w:t>
      </w:r>
      <w:r w:rsidR="00161167" w:rsidRPr="007368DB">
        <w:rPr>
          <w:rFonts w:ascii="Cambria" w:hAnsi="Cambria"/>
          <w:iCs/>
          <w:color w:val="000000" w:themeColor="text1"/>
          <w:sz w:val="20"/>
          <w:szCs w:val="20"/>
        </w:rPr>
        <w:t xml:space="preserve"> (</w:t>
      </w:r>
      <w:proofErr w:type="spellStart"/>
      <w:r w:rsidR="00161167" w:rsidRPr="007368DB">
        <w:rPr>
          <w:rFonts w:ascii="Cambria" w:hAnsi="Cambria"/>
          <w:iCs/>
          <w:color w:val="000000" w:themeColor="text1"/>
          <w:sz w:val="20"/>
          <w:szCs w:val="20"/>
        </w:rPr>
        <w:t>Cth</w:t>
      </w:r>
      <w:proofErr w:type="spellEnd"/>
      <w:r w:rsidR="00161167" w:rsidRPr="007368DB">
        <w:rPr>
          <w:rFonts w:ascii="Cambria" w:hAnsi="Cambria"/>
          <w:iCs/>
          <w:color w:val="000000" w:themeColor="text1"/>
          <w:sz w:val="20"/>
          <w:szCs w:val="20"/>
        </w:rPr>
        <w:t xml:space="preserve">). </w:t>
      </w:r>
    </w:p>
  </w:footnote>
  <w:footnote w:id="40">
    <w:p w:rsidR="007E4316" w:rsidRPr="007368DB" w:rsidRDefault="007E431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Regulation 25 of the </w:t>
      </w:r>
      <w:r w:rsidRPr="007368DB">
        <w:rPr>
          <w:rFonts w:ascii="Cambria" w:hAnsi="Cambria"/>
          <w:i/>
          <w:iCs/>
          <w:color w:val="000000" w:themeColor="text1"/>
          <w:sz w:val="20"/>
          <w:szCs w:val="20"/>
        </w:rPr>
        <w:t>Law Enforcement (Powers and Responsibilities) Regulation 2005</w:t>
      </w:r>
      <w:r w:rsidRPr="007368DB">
        <w:rPr>
          <w:rFonts w:ascii="Cambria" w:hAnsi="Cambria"/>
          <w:color w:val="000000" w:themeColor="text1"/>
          <w:sz w:val="20"/>
          <w:szCs w:val="20"/>
        </w:rPr>
        <w:t>.</w:t>
      </w:r>
      <w:r w:rsidR="00E679E7" w:rsidRPr="007368DB">
        <w:rPr>
          <w:rFonts w:ascii="Cambria" w:hAnsi="Cambria"/>
          <w:color w:val="000000" w:themeColor="text1"/>
          <w:sz w:val="20"/>
          <w:szCs w:val="20"/>
        </w:rPr>
        <w:t xml:space="preserve"> </w:t>
      </w:r>
      <w:r w:rsidR="00901D99" w:rsidRPr="007368DB">
        <w:rPr>
          <w:rFonts w:ascii="Cambria" w:hAnsi="Cambria"/>
          <w:iCs/>
          <w:color w:val="000000" w:themeColor="text1"/>
          <w:sz w:val="20"/>
          <w:szCs w:val="20"/>
        </w:rPr>
        <w:t>Se</w:t>
      </w:r>
      <w:r w:rsidR="00E679E7" w:rsidRPr="007368DB">
        <w:rPr>
          <w:rFonts w:ascii="Cambria" w:hAnsi="Cambria"/>
          <w:iCs/>
          <w:color w:val="000000" w:themeColor="text1"/>
          <w:sz w:val="20"/>
          <w:szCs w:val="20"/>
        </w:rPr>
        <w:t xml:space="preserve">e </w:t>
      </w:r>
      <w:r w:rsidR="00901D99" w:rsidRPr="007368DB">
        <w:rPr>
          <w:rFonts w:ascii="Cambria" w:hAnsi="Cambria"/>
          <w:iCs/>
          <w:color w:val="000000" w:themeColor="text1"/>
          <w:sz w:val="20"/>
          <w:szCs w:val="20"/>
        </w:rPr>
        <w:t xml:space="preserve">also </w:t>
      </w:r>
      <w:r w:rsidR="00E679E7" w:rsidRPr="007368DB">
        <w:rPr>
          <w:rFonts w:ascii="Cambria" w:hAnsi="Cambria"/>
          <w:iCs/>
          <w:color w:val="000000" w:themeColor="text1"/>
          <w:sz w:val="20"/>
          <w:szCs w:val="20"/>
        </w:rPr>
        <w:t xml:space="preserve">section 23K of the </w:t>
      </w:r>
      <w:r w:rsidR="00E679E7" w:rsidRPr="007368DB">
        <w:rPr>
          <w:rFonts w:ascii="Cambria" w:hAnsi="Cambria"/>
          <w:i/>
          <w:color w:val="000000" w:themeColor="text1"/>
          <w:sz w:val="20"/>
          <w:szCs w:val="20"/>
        </w:rPr>
        <w:t>Crimes Act 1914</w:t>
      </w:r>
      <w:r w:rsidR="00E679E7" w:rsidRPr="007368DB">
        <w:rPr>
          <w:rFonts w:ascii="Cambria" w:hAnsi="Cambria"/>
          <w:iCs/>
          <w:color w:val="000000" w:themeColor="text1"/>
          <w:sz w:val="20"/>
          <w:szCs w:val="20"/>
        </w:rPr>
        <w:t xml:space="preserve"> (</w:t>
      </w:r>
      <w:proofErr w:type="spellStart"/>
      <w:r w:rsidR="00E679E7" w:rsidRPr="007368DB">
        <w:rPr>
          <w:rFonts w:ascii="Cambria" w:hAnsi="Cambria"/>
          <w:iCs/>
          <w:color w:val="000000" w:themeColor="text1"/>
          <w:sz w:val="20"/>
          <w:szCs w:val="20"/>
        </w:rPr>
        <w:t>Cth</w:t>
      </w:r>
      <w:proofErr w:type="spellEnd"/>
      <w:r w:rsidR="00E679E7" w:rsidRPr="007368DB">
        <w:rPr>
          <w:rFonts w:ascii="Cambria" w:hAnsi="Cambria"/>
          <w:iCs/>
          <w:color w:val="000000" w:themeColor="text1"/>
          <w:sz w:val="20"/>
          <w:szCs w:val="20"/>
        </w:rPr>
        <w:t xml:space="preserve">) which provides that young people are unable to be questioned unless an ‘interview friend’ is present and Also see section 23N of the </w:t>
      </w:r>
      <w:r w:rsidR="00E679E7" w:rsidRPr="007368DB">
        <w:rPr>
          <w:rFonts w:ascii="Cambria" w:hAnsi="Cambria"/>
          <w:i/>
          <w:color w:val="000000" w:themeColor="text1"/>
          <w:sz w:val="20"/>
          <w:szCs w:val="20"/>
        </w:rPr>
        <w:t>Crimes Act 1914</w:t>
      </w:r>
      <w:r w:rsidR="00E679E7" w:rsidRPr="007368DB">
        <w:rPr>
          <w:rFonts w:ascii="Cambria" w:hAnsi="Cambria"/>
          <w:iCs/>
          <w:color w:val="000000" w:themeColor="text1"/>
          <w:sz w:val="20"/>
          <w:szCs w:val="20"/>
        </w:rPr>
        <w:t xml:space="preserve"> (</w:t>
      </w:r>
      <w:proofErr w:type="spellStart"/>
      <w:r w:rsidR="00E679E7" w:rsidRPr="007368DB">
        <w:rPr>
          <w:rFonts w:ascii="Cambria" w:hAnsi="Cambria"/>
          <w:iCs/>
          <w:color w:val="000000" w:themeColor="text1"/>
          <w:sz w:val="20"/>
          <w:szCs w:val="20"/>
        </w:rPr>
        <w:t>Cth</w:t>
      </w:r>
      <w:proofErr w:type="spellEnd"/>
      <w:r w:rsidR="00E679E7" w:rsidRPr="007368DB">
        <w:rPr>
          <w:rFonts w:ascii="Cambria" w:hAnsi="Cambria"/>
          <w:iCs/>
          <w:color w:val="000000" w:themeColor="text1"/>
          <w:sz w:val="20"/>
          <w:szCs w:val="20"/>
        </w:rPr>
        <w:t xml:space="preserve">) which provides that where a person is under arrest but has either inadequate knowledge of the English language or a physical disability which means they cannot communicate orally with reasonable fluency, the investigating official must arrange for the presence of an interpreter. </w:t>
      </w:r>
      <w:r w:rsidRPr="007368DB">
        <w:rPr>
          <w:rFonts w:ascii="Cambria" w:hAnsi="Cambria"/>
          <w:color w:val="000000" w:themeColor="text1"/>
          <w:sz w:val="20"/>
          <w:szCs w:val="20"/>
        </w:rPr>
        <w:t xml:space="preserve"> </w:t>
      </w:r>
    </w:p>
  </w:footnote>
  <w:footnote w:id="41">
    <w:p w:rsidR="007E4316" w:rsidRPr="007368DB" w:rsidRDefault="007E4316" w:rsidP="007E4316">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Regulation 27 of the </w:t>
      </w:r>
      <w:r w:rsidRPr="007368DB">
        <w:rPr>
          <w:rFonts w:ascii="Cambria" w:hAnsi="Cambria"/>
          <w:i/>
          <w:iCs/>
          <w:color w:val="000000" w:themeColor="text1"/>
          <w:sz w:val="20"/>
          <w:szCs w:val="20"/>
        </w:rPr>
        <w:t>Law Enforcement (Powers and Responsibilities) Regulation 2005</w:t>
      </w:r>
      <w:r w:rsidRPr="007368DB">
        <w:rPr>
          <w:rFonts w:ascii="Cambria" w:hAnsi="Cambria"/>
          <w:color w:val="000000" w:themeColor="text1"/>
          <w:sz w:val="20"/>
          <w:szCs w:val="20"/>
        </w:rPr>
        <w:t xml:space="preserve">. </w:t>
      </w:r>
    </w:p>
  </w:footnote>
  <w:footnote w:id="42">
    <w:p w:rsidR="00E679E7" w:rsidRPr="007368DB" w:rsidRDefault="00E679E7">
      <w:pPr>
        <w:pStyle w:val="FootnoteText"/>
        <w:rPr>
          <w:rFonts w:ascii="Cambria" w:hAnsi="Cambria"/>
          <w:color w:val="000000" w:themeColor="text1"/>
          <w:sz w:val="20"/>
          <w:szCs w:val="20"/>
        </w:rPr>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w:t>
      </w:r>
      <w:r w:rsidRPr="007368DB">
        <w:rPr>
          <w:rFonts w:ascii="Cambria" w:hAnsi="Cambria"/>
          <w:iCs/>
          <w:color w:val="000000" w:themeColor="text1"/>
          <w:sz w:val="20"/>
          <w:szCs w:val="20"/>
        </w:rPr>
        <w:t xml:space="preserve">Also see section 23H of the </w:t>
      </w:r>
      <w:r w:rsidRPr="007368DB">
        <w:rPr>
          <w:rFonts w:ascii="Cambria" w:hAnsi="Cambria"/>
          <w:i/>
          <w:color w:val="000000" w:themeColor="text1"/>
          <w:sz w:val="20"/>
          <w:szCs w:val="20"/>
        </w:rPr>
        <w:t>Crimes Act 1914</w:t>
      </w:r>
      <w:r w:rsidRPr="007368DB">
        <w:rPr>
          <w:rFonts w:ascii="Cambria" w:hAnsi="Cambria"/>
          <w:iCs/>
          <w:color w:val="000000" w:themeColor="text1"/>
          <w:sz w:val="20"/>
          <w:szCs w:val="20"/>
        </w:rPr>
        <w:t xml:space="preserve"> (</w:t>
      </w:r>
      <w:proofErr w:type="spellStart"/>
      <w:r w:rsidRPr="007368DB">
        <w:rPr>
          <w:rFonts w:ascii="Cambria" w:hAnsi="Cambria"/>
          <w:iCs/>
          <w:color w:val="000000" w:themeColor="text1"/>
          <w:sz w:val="20"/>
          <w:szCs w:val="20"/>
        </w:rPr>
        <w:t>Cth</w:t>
      </w:r>
      <w:proofErr w:type="spellEnd"/>
      <w:r w:rsidRPr="007368DB">
        <w:rPr>
          <w:rFonts w:ascii="Cambria" w:hAnsi="Cambria"/>
          <w:iCs/>
          <w:color w:val="000000" w:themeColor="text1"/>
          <w:sz w:val="20"/>
          <w:szCs w:val="20"/>
        </w:rPr>
        <w:t>).</w:t>
      </w:r>
    </w:p>
  </w:footnote>
  <w:footnote w:id="43">
    <w:p w:rsidR="00265650" w:rsidRDefault="00265650">
      <w:pPr>
        <w:pStyle w:val="FootnoteText"/>
      </w:pPr>
      <w:r w:rsidRPr="007368DB">
        <w:rPr>
          <w:rStyle w:val="FootnoteReference"/>
          <w:rFonts w:ascii="Cambria" w:hAnsi="Cambria"/>
          <w:color w:val="000000" w:themeColor="text1"/>
          <w:sz w:val="20"/>
          <w:szCs w:val="20"/>
        </w:rPr>
        <w:footnoteRef/>
      </w:r>
      <w:r w:rsidRPr="007368DB">
        <w:rPr>
          <w:rFonts w:ascii="Cambria" w:hAnsi="Cambria"/>
          <w:color w:val="000000" w:themeColor="text1"/>
          <w:sz w:val="20"/>
          <w:szCs w:val="20"/>
        </w:rPr>
        <w:t xml:space="preserve"> Tasmania Law Reform Institute, </w:t>
      </w:r>
      <w:r w:rsidRPr="007368DB">
        <w:rPr>
          <w:rFonts w:ascii="Cambria" w:hAnsi="Cambria"/>
          <w:i/>
          <w:iCs/>
          <w:color w:val="000000" w:themeColor="text1"/>
          <w:sz w:val="20"/>
          <w:szCs w:val="20"/>
        </w:rPr>
        <w:t>Consolidation of Arrest Laws in Tasmania</w:t>
      </w:r>
      <w:r w:rsidRPr="007368DB">
        <w:rPr>
          <w:rFonts w:ascii="Cambria" w:hAnsi="Cambria"/>
          <w:color w:val="000000" w:themeColor="text1"/>
          <w:sz w:val="20"/>
          <w:szCs w:val="20"/>
        </w:rPr>
        <w:t xml:space="preserve"> (Final Report No. 15), recommendation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567"/>
    <w:multiLevelType w:val="multilevel"/>
    <w:tmpl w:val="625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3449B"/>
    <w:multiLevelType w:val="hybridMultilevel"/>
    <w:tmpl w:val="B1DE3922"/>
    <w:lvl w:ilvl="0" w:tplc="9F342422">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67E83"/>
    <w:multiLevelType w:val="hybridMultilevel"/>
    <w:tmpl w:val="81C03B90"/>
    <w:lvl w:ilvl="0" w:tplc="EF4498E8">
      <w:start w:val="3"/>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86121"/>
    <w:multiLevelType w:val="hybridMultilevel"/>
    <w:tmpl w:val="18ACDE6A"/>
    <w:lvl w:ilvl="0" w:tplc="704CA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15CFA"/>
    <w:multiLevelType w:val="multilevel"/>
    <w:tmpl w:val="35F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75310D"/>
    <w:multiLevelType w:val="hybridMultilevel"/>
    <w:tmpl w:val="F57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53875"/>
    <w:multiLevelType w:val="hybridMultilevel"/>
    <w:tmpl w:val="4C72073C"/>
    <w:lvl w:ilvl="0" w:tplc="709454A2">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53C54"/>
    <w:multiLevelType w:val="multilevel"/>
    <w:tmpl w:val="6052B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CB25C4"/>
    <w:multiLevelType w:val="multilevel"/>
    <w:tmpl w:val="1F52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4738F"/>
    <w:multiLevelType w:val="multilevel"/>
    <w:tmpl w:val="F94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309432">
    <w:abstractNumId w:val="6"/>
  </w:num>
  <w:num w:numId="2" w16cid:durableId="600339585">
    <w:abstractNumId w:val="5"/>
  </w:num>
  <w:num w:numId="3" w16cid:durableId="235092437">
    <w:abstractNumId w:val="1"/>
  </w:num>
  <w:num w:numId="4" w16cid:durableId="605045840">
    <w:abstractNumId w:val="2"/>
  </w:num>
  <w:num w:numId="5" w16cid:durableId="1946421522">
    <w:abstractNumId w:val="3"/>
  </w:num>
  <w:num w:numId="6" w16cid:durableId="149449593">
    <w:abstractNumId w:val="8"/>
  </w:num>
  <w:num w:numId="7" w16cid:durableId="690451646">
    <w:abstractNumId w:val="4"/>
  </w:num>
  <w:num w:numId="8" w16cid:durableId="908151072">
    <w:abstractNumId w:val="9"/>
  </w:num>
  <w:num w:numId="9" w16cid:durableId="296835549">
    <w:abstractNumId w:val="0"/>
  </w:num>
  <w:num w:numId="10" w16cid:durableId="1585187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4C"/>
    <w:rsid w:val="000132F3"/>
    <w:rsid w:val="00024572"/>
    <w:rsid w:val="00026FDD"/>
    <w:rsid w:val="000546C2"/>
    <w:rsid w:val="00096EC1"/>
    <w:rsid w:val="000D56DB"/>
    <w:rsid w:val="000E146C"/>
    <w:rsid w:val="000E2785"/>
    <w:rsid w:val="000E4CF0"/>
    <w:rsid w:val="000F4138"/>
    <w:rsid w:val="00117663"/>
    <w:rsid w:val="00161167"/>
    <w:rsid w:val="0016391D"/>
    <w:rsid w:val="00180930"/>
    <w:rsid w:val="00184717"/>
    <w:rsid w:val="002039A2"/>
    <w:rsid w:val="002157EA"/>
    <w:rsid w:val="00215FCE"/>
    <w:rsid w:val="002239C3"/>
    <w:rsid w:val="002510AB"/>
    <w:rsid w:val="00256504"/>
    <w:rsid w:val="00265650"/>
    <w:rsid w:val="00277539"/>
    <w:rsid w:val="00280BDF"/>
    <w:rsid w:val="00286FBF"/>
    <w:rsid w:val="002C57C5"/>
    <w:rsid w:val="002F2E54"/>
    <w:rsid w:val="00306A60"/>
    <w:rsid w:val="00306ADF"/>
    <w:rsid w:val="0032046E"/>
    <w:rsid w:val="00323780"/>
    <w:rsid w:val="00356676"/>
    <w:rsid w:val="003F10EF"/>
    <w:rsid w:val="004034E8"/>
    <w:rsid w:val="00404BBD"/>
    <w:rsid w:val="00417A44"/>
    <w:rsid w:val="00475104"/>
    <w:rsid w:val="00484335"/>
    <w:rsid w:val="004B50DA"/>
    <w:rsid w:val="005054F3"/>
    <w:rsid w:val="00515DAD"/>
    <w:rsid w:val="0051685F"/>
    <w:rsid w:val="00552A6A"/>
    <w:rsid w:val="005A7C2E"/>
    <w:rsid w:val="005B3782"/>
    <w:rsid w:val="005C2872"/>
    <w:rsid w:val="005D7A6B"/>
    <w:rsid w:val="0066226E"/>
    <w:rsid w:val="006F7E16"/>
    <w:rsid w:val="00710477"/>
    <w:rsid w:val="007368DB"/>
    <w:rsid w:val="00746D57"/>
    <w:rsid w:val="0075677D"/>
    <w:rsid w:val="00766C82"/>
    <w:rsid w:val="007735EB"/>
    <w:rsid w:val="00774AF6"/>
    <w:rsid w:val="00791ADD"/>
    <w:rsid w:val="007C42B3"/>
    <w:rsid w:val="007E4316"/>
    <w:rsid w:val="007E7E89"/>
    <w:rsid w:val="007F5F5F"/>
    <w:rsid w:val="008436CB"/>
    <w:rsid w:val="00857C56"/>
    <w:rsid w:val="00862958"/>
    <w:rsid w:val="00876AB5"/>
    <w:rsid w:val="008A556C"/>
    <w:rsid w:val="008D3927"/>
    <w:rsid w:val="008F5646"/>
    <w:rsid w:val="00901D99"/>
    <w:rsid w:val="0092588D"/>
    <w:rsid w:val="009B17C9"/>
    <w:rsid w:val="009B4760"/>
    <w:rsid w:val="009C2CF6"/>
    <w:rsid w:val="009D2530"/>
    <w:rsid w:val="00A133FB"/>
    <w:rsid w:val="00A24E7D"/>
    <w:rsid w:val="00A47F79"/>
    <w:rsid w:val="00A53170"/>
    <w:rsid w:val="00A7075D"/>
    <w:rsid w:val="00A94C40"/>
    <w:rsid w:val="00AA3309"/>
    <w:rsid w:val="00AE54ED"/>
    <w:rsid w:val="00B26AEB"/>
    <w:rsid w:val="00B77EFA"/>
    <w:rsid w:val="00B86E3E"/>
    <w:rsid w:val="00B97ACB"/>
    <w:rsid w:val="00BB2510"/>
    <w:rsid w:val="00BC39F4"/>
    <w:rsid w:val="00BD30EC"/>
    <w:rsid w:val="00C2739F"/>
    <w:rsid w:val="00C35527"/>
    <w:rsid w:val="00C56718"/>
    <w:rsid w:val="00C814B9"/>
    <w:rsid w:val="00C83509"/>
    <w:rsid w:val="00C9426E"/>
    <w:rsid w:val="00CA3127"/>
    <w:rsid w:val="00CA50C6"/>
    <w:rsid w:val="00CB4928"/>
    <w:rsid w:val="00CD651B"/>
    <w:rsid w:val="00CF3304"/>
    <w:rsid w:val="00CF65F3"/>
    <w:rsid w:val="00D056CA"/>
    <w:rsid w:val="00D32F40"/>
    <w:rsid w:val="00D601D6"/>
    <w:rsid w:val="00D774AF"/>
    <w:rsid w:val="00D86918"/>
    <w:rsid w:val="00D92211"/>
    <w:rsid w:val="00DA236A"/>
    <w:rsid w:val="00DB6B32"/>
    <w:rsid w:val="00DF771F"/>
    <w:rsid w:val="00E679E7"/>
    <w:rsid w:val="00E74360"/>
    <w:rsid w:val="00EC0A25"/>
    <w:rsid w:val="00ED5991"/>
    <w:rsid w:val="00EF24E3"/>
    <w:rsid w:val="00F1588D"/>
    <w:rsid w:val="00F40C0E"/>
    <w:rsid w:val="00F45D05"/>
    <w:rsid w:val="00F52C89"/>
    <w:rsid w:val="00F65D4C"/>
    <w:rsid w:val="00F86B2E"/>
    <w:rsid w:val="00FB0490"/>
    <w:rsid w:val="00FC7AAB"/>
    <w:rsid w:val="00FE6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BC998B"/>
  <w15:chartTrackingRefBased/>
  <w15:docId w15:val="{7A9C3B5C-BF1A-6A49-BC22-C8FF16E7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D4C"/>
    <w:rPr>
      <w:color w:val="0563C1" w:themeColor="hyperlink"/>
      <w:u w:val="single"/>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F65D4C"/>
    <w:rPr>
      <w:rFonts w:ascii="Times New Roman" w:eastAsia="Times New Roman" w:hAnsi="Times New Roman" w:cs="Times New Roman"/>
      <w:kern w:val="0"/>
      <w:lang w:eastAsia="en-GB"/>
      <w14:ligatures w14:val="none"/>
    </w:rPr>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F65D4C"/>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F65D4C"/>
    <w:rPr>
      <w:vertAlign w:val="superscript"/>
    </w:rPr>
  </w:style>
  <w:style w:type="character" w:styleId="UnresolvedMention">
    <w:name w:val="Unresolved Mention"/>
    <w:basedOn w:val="DefaultParagraphFont"/>
    <w:uiPriority w:val="99"/>
    <w:semiHidden/>
    <w:unhideWhenUsed/>
    <w:rsid w:val="00F65D4C"/>
    <w:rPr>
      <w:color w:val="605E5C"/>
      <w:shd w:val="clear" w:color="auto" w:fill="E1DFDD"/>
    </w:rPr>
  </w:style>
  <w:style w:type="paragraph" w:customStyle="1" w:styleId="xmsonormal">
    <w:name w:val="x_msonormal"/>
    <w:basedOn w:val="Normal"/>
    <w:rsid w:val="00857C5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BC39F4"/>
    <w:pPr>
      <w:ind w:left="720"/>
      <w:contextualSpacing/>
    </w:pPr>
  </w:style>
  <w:style w:type="character" w:styleId="FollowedHyperlink">
    <w:name w:val="FollowedHyperlink"/>
    <w:basedOn w:val="DefaultParagraphFont"/>
    <w:uiPriority w:val="99"/>
    <w:semiHidden/>
    <w:unhideWhenUsed/>
    <w:rsid w:val="007E7E89"/>
    <w:rPr>
      <w:color w:val="954F72" w:themeColor="followedHyperlink"/>
      <w:u w:val="single"/>
    </w:rPr>
  </w:style>
  <w:style w:type="paragraph" w:customStyle="1" w:styleId="headingparagraph">
    <w:name w:val="headingparagraph"/>
    <w:basedOn w:val="Normal"/>
    <w:rsid w:val="002039A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name">
    <w:name w:val="headingname"/>
    <w:basedOn w:val="DefaultParagraphFont"/>
    <w:rsid w:val="002039A2"/>
  </w:style>
  <w:style w:type="character" w:customStyle="1" w:styleId="listnumber">
    <w:name w:val="listnumber"/>
    <w:basedOn w:val="DefaultParagraphFont"/>
    <w:rsid w:val="002039A2"/>
  </w:style>
  <w:style w:type="paragraph" w:customStyle="1" w:styleId="note">
    <w:name w:val="note"/>
    <w:basedOn w:val="Normal"/>
    <w:rsid w:val="002039A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teheadingname">
    <w:name w:val="noteheadingname"/>
    <w:basedOn w:val="DefaultParagraphFont"/>
    <w:rsid w:val="002039A2"/>
  </w:style>
  <w:style w:type="paragraph" w:customStyle="1" w:styleId="subsection">
    <w:name w:val="subsection"/>
    <w:basedOn w:val="Normal"/>
    <w:rsid w:val="002039A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2039A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0D56DB"/>
    <w:pPr>
      <w:tabs>
        <w:tab w:val="center" w:pos="4513"/>
        <w:tab w:val="right" w:pos="9026"/>
      </w:tabs>
    </w:pPr>
  </w:style>
  <w:style w:type="character" w:customStyle="1" w:styleId="FooterChar">
    <w:name w:val="Footer Char"/>
    <w:basedOn w:val="DefaultParagraphFont"/>
    <w:link w:val="Footer"/>
    <w:uiPriority w:val="99"/>
    <w:rsid w:val="000D56DB"/>
  </w:style>
  <w:style w:type="character" w:styleId="PageNumber">
    <w:name w:val="page number"/>
    <w:basedOn w:val="DefaultParagraphFont"/>
    <w:uiPriority w:val="99"/>
    <w:semiHidden/>
    <w:unhideWhenUsed/>
    <w:rsid w:val="000D56DB"/>
  </w:style>
  <w:style w:type="paragraph" w:styleId="NormalWeb">
    <w:name w:val="Normal (Web)"/>
    <w:basedOn w:val="Normal"/>
    <w:uiPriority w:val="99"/>
    <w:semiHidden/>
    <w:unhideWhenUsed/>
    <w:rsid w:val="00D774A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35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4003">
      <w:bodyDiv w:val="1"/>
      <w:marLeft w:val="0"/>
      <w:marRight w:val="0"/>
      <w:marTop w:val="0"/>
      <w:marBottom w:val="0"/>
      <w:divBdr>
        <w:top w:val="none" w:sz="0" w:space="0" w:color="auto"/>
        <w:left w:val="none" w:sz="0" w:space="0" w:color="auto"/>
        <w:bottom w:val="none" w:sz="0" w:space="0" w:color="auto"/>
        <w:right w:val="none" w:sz="0" w:space="0" w:color="auto"/>
      </w:divBdr>
      <w:divsChild>
        <w:div w:id="114505277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75217025">
              <w:blockQuote w:val="1"/>
              <w:marLeft w:val="0"/>
              <w:marRight w:val="0"/>
              <w:marTop w:val="120"/>
              <w:marBottom w:val="120"/>
              <w:divBdr>
                <w:top w:val="none" w:sz="0" w:space="0" w:color="auto"/>
                <w:left w:val="none" w:sz="0" w:space="0" w:color="auto"/>
                <w:bottom w:val="none" w:sz="0" w:space="0" w:color="auto"/>
                <w:right w:val="none" w:sz="0" w:space="0" w:color="auto"/>
              </w:divBdr>
              <w:divsChild>
                <w:div w:id="100736584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51762858">
                      <w:blockQuote w:val="1"/>
                      <w:marLeft w:val="0"/>
                      <w:marRight w:val="0"/>
                      <w:marTop w:val="120"/>
                      <w:marBottom w:val="120"/>
                      <w:divBdr>
                        <w:top w:val="none" w:sz="0" w:space="0" w:color="auto"/>
                        <w:left w:val="none" w:sz="0" w:space="0" w:color="auto"/>
                        <w:bottom w:val="none" w:sz="0" w:space="0" w:color="auto"/>
                        <w:right w:val="none" w:sz="0" w:space="0" w:color="auto"/>
                      </w:divBdr>
                    </w:div>
                    <w:div w:id="55693376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4054574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1072641">
      <w:bodyDiv w:val="1"/>
      <w:marLeft w:val="0"/>
      <w:marRight w:val="0"/>
      <w:marTop w:val="0"/>
      <w:marBottom w:val="0"/>
      <w:divBdr>
        <w:top w:val="none" w:sz="0" w:space="0" w:color="auto"/>
        <w:left w:val="none" w:sz="0" w:space="0" w:color="auto"/>
        <w:bottom w:val="none" w:sz="0" w:space="0" w:color="auto"/>
        <w:right w:val="none" w:sz="0" w:space="0" w:color="auto"/>
      </w:divBdr>
    </w:div>
    <w:div w:id="626818965">
      <w:bodyDiv w:val="1"/>
      <w:marLeft w:val="0"/>
      <w:marRight w:val="0"/>
      <w:marTop w:val="0"/>
      <w:marBottom w:val="0"/>
      <w:divBdr>
        <w:top w:val="none" w:sz="0" w:space="0" w:color="auto"/>
        <w:left w:val="none" w:sz="0" w:space="0" w:color="auto"/>
        <w:bottom w:val="none" w:sz="0" w:space="0" w:color="auto"/>
        <w:right w:val="none" w:sz="0" w:space="0" w:color="auto"/>
      </w:divBdr>
      <w:divsChild>
        <w:div w:id="108646216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10627156">
              <w:blockQuote w:val="1"/>
              <w:marLeft w:val="600"/>
              <w:marRight w:val="0"/>
              <w:marTop w:val="120"/>
              <w:marBottom w:val="120"/>
              <w:divBdr>
                <w:top w:val="none" w:sz="0" w:space="0" w:color="auto"/>
                <w:left w:val="none" w:sz="0" w:space="0" w:color="auto"/>
                <w:bottom w:val="none" w:sz="0" w:space="0" w:color="auto"/>
                <w:right w:val="none" w:sz="0" w:space="0" w:color="auto"/>
              </w:divBdr>
            </w:div>
            <w:div w:id="8827947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02036528">
                  <w:blockQuote w:val="1"/>
                  <w:marLeft w:val="600"/>
                  <w:marRight w:val="0"/>
                  <w:marTop w:val="120"/>
                  <w:marBottom w:val="120"/>
                  <w:divBdr>
                    <w:top w:val="none" w:sz="0" w:space="0" w:color="auto"/>
                    <w:left w:val="none" w:sz="0" w:space="0" w:color="auto"/>
                    <w:bottom w:val="none" w:sz="0" w:space="0" w:color="auto"/>
                    <w:right w:val="none" w:sz="0" w:space="0" w:color="auto"/>
                  </w:divBdr>
                </w:div>
                <w:div w:id="967586088">
                  <w:blockQuote w:val="1"/>
                  <w:marLeft w:val="600"/>
                  <w:marRight w:val="0"/>
                  <w:marTop w:val="120"/>
                  <w:marBottom w:val="120"/>
                  <w:divBdr>
                    <w:top w:val="none" w:sz="0" w:space="0" w:color="auto"/>
                    <w:left w:val="none" w:sz="0" w:space="0" w:color="auto"/>
                    <w:bottom w:val="none" w:sz="0" w:space="0" w:color="auto"/>
                    <w:right w:val="none" w:sz="0" w:space="0" w:color="auto"/>
                  </w:divBdr>
                </w:div>
                <w:div w:id="181956783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211481260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912395574">
      <w:bodyDiv w:val="1"/>
      <w:marLeft w:val="0"/>
      <w:marRight w:val="0"/>
      <w:marTop w:val="0"/>
      <w:marBottom w:val="0"/>
      <w:divBdr>
        <w:top w:val="none" w:sz="0" w:space="0" w:color="auto"/>
        <w:left w:val="none" w:sz="0" w:space="0" w:color="auto"/>
        <w:bottom w:val="none" w:sz="0" w:space="0" w:color="auto"/>
        <w:right w:val="none" w:sz="0" w:space="0" w:color="auto"/>
      </w:divBdr>
      <w:divsChild>
        <w:div w:id="644967032">
          <w:marLeft w:val="0"/>
          <w:marRight w:val="0"/>
          <w:marTop w:val="0"/>
          <w:marBottom w:val="0"/>
          <w:divBdr>
            <w:top w:val="none" w:sz="0" w:space="0" w:color="auto"/>
            <w:left w:val="none" w:sz="0" w:space="0" w:color="auto"/>
            <w:bottom w:val="none" w:sz="0" w:space="0" w:color="auto"/>
            <w:right w:val="none" w:sz="0" w:space="0" w:color="auto"/>
          </w:divBdr>
        </w:div>
        <w:div w:id="727261030">
          <w:marLeft w:val="0"/>
          <w:marRight w:val="0"/>
          <w:marTop w:val="0"/>
          <w:marBottom w:val="0"/>
          <w:divBdr>
            <w:top w:val="none" w:sz="0" w:space="0" w:color="auto"/>
            <w:left w:val="none" w:sz="0" w:space="0" w:color="auto"/>
            <w:bottom w:val="none" w:sz="0" w:space="0" w:color="auto"/>
            <w:right w:val="none" w:sz="0" w:space="0" w:color="auto"/>
          </w:divBdr>
        </w:div>
        <w:div w:id="493104334">
          <w:marLeft w:val="0"/>
          <w:marRight w:val="0"/>
          <w:marTop w:val="0"/>
          <w:marBottom w:val="0"/>
          <w:divBdr>
            <w:top w:val="none" w:sz="0" w:space="0" w:color="auto"/>
            <w:left w:val="none" w:sz="0" w:space="0" w:color="auto"/>
            <w:bottom w:val="none" w:sz="0" w:space="0" w:color="auto"/>
            <w:right w:val="none" w:sz="0" w:space="0" w:color="auto"/>
          </w:divBdr>
        </w:div>
        <w:div w:id="2125227009">
          <w:marLeft w:val="0"/>
          <w:marRight w:val="0"/>
          <w:marTop w:val="0"/>
          <w:marBottom w:val="0"/>
          <w:divBdr>
            <w:top w:val="none" w:sz="0" w:space="0" w:color="auto"/>
            <w:left w:val="none" w:sz="0" w:space="0" w:color="auto"/>
            <w:bottom w:val="none" w:sz="0" w:space="0" w:color="auto"/>
            <w:right w:val="none" w:sz="0" w:space="0" w:color="auto"/>
          </w:divBdr>
        </w:div>
        <w:div w:id="683480522">
          <w:marLeft w:val="0"/>
          <w:marRight w:val="0"/>
          <w:marTop w:val="0"/>
          <w:marBottom w:val="0"/>
          <w:divBdr>
            <w:top w:val="none" w:sz="0" w:space="0" w:color="auto"/>
            <w:left w:val="none" w:sz="0" w:space="0" w:color="auto"/>
            <w:bottom w:val="none" w:sz="0" w:space="0" w:color="auto"/>
            <w:right w:val="none" w:sz="0" w:space="0" w:color="auto"/>
          </w:divBdr>
        </w:div>
        <w:div w:id="1959674280">
          <w:marLeft w:val="0"/>
          <w:marRight w:val="0"/>
          <w:marTop w:val="0"/>
          <w:marBottom w:val="0"/>
          <w:divBdr>
            <w:top w:val="none" w:sz="0" w:space="0" w:color="auto"/>
            <w:left w:val="none" w:sz="0" w:space="0" w:color="auto"/>
            <w:bottom w:val="none" w:sz="0" w:space="0" w:color="auto"/>
            <w:right w:val="none" w:sz="0" w:space="0" w:color="auto"/>
          </w:divBdr>
        </w:div>
        <w:div w:id="1629164275">
          <w:marLeft w:val="0"/>
          <w:marRight w:val="0"/>
          <w:marTop w:val="0"/>
          <w:marBottom w:val="0"/>
          <w:divBdr>
            <w:top w:val="none" w:sz="0" w:space="0" w:color="auto"/>
            <w:left w:val="none" w:sz="0" w:space="0" w:color="auto"/>
            <w:bottom w:val="none" w:sz="0" w:space="0" w:color="auto"/>
            <w:right w:val="none" w:sz="0" w:space="0" w:color="auto"/>
          </w:divBdr>
        </w:div>
        <w:div w:id="294143695">
          <w:marLeft w:val="0"/>
          <w:marRight w:val="0"/>
          <w:marTop w:val="0"/>
          <w:marBottom w:val="0"/>
          <w:divBdr>
            <w:top w:val="none" w:sz="0" w:space="0" w:color="auto"/>
            <w:left w:val="none" w:sz="0" w:space="0" w:color="auto"/>
            <w:bottom w:val="none" w:sz="0" w:space="0" w:color="auto"/>
            <w:right w:val="none" w:sz="0" w:space="0" w:color="auto"/>
          </w:divBdr>
        </w:div>
        <w:div w:id="291206022">
          <w:marLeft w:val="0"/>
          <w:marRight w:val="0"/>
          <w:marTop w:val="0"/>
          <w:marBottom w:val="0"/>
          <w:divBdr>
            <w:top w:val="none" w:sz="0" w:space="0" w:color="auto"/>
            <w:left w:val="none" w:sz="0" w:space="0" w:color="auto"/>
            <w:bottom w:val="none" w:sz="0" w:space="0" w:color="auto"/>
            <w:right w:val="none" w:sz="0" w:space="0" w:color="auto"/>
          </w:divBdr>
        </w:div>
        <w:div w:id="2035689007">
          <w:marLeft w:val="0"/>
          <w:marRight w:val="0"/>
          <w:marTop w:val="0"/>
          <w:marBottom w:val="0"/>
          <w:divBdr>
            <w:top w:val="none" w:sz="0" w:space="0" w:color="auto"/>
            <w:left w:val="none" w:sz="0" w:space="0" w:color="auto"/>
            <w:bottom w:val="none" w:sz="0" w:space="0" w:color="auto"/>
            <w:right w:val="none" w:sz="0" w:space="0" w:color="auto"/>
          </w:divBdr>
        </w:div>
        <w:div w:id="1841843846">
          <w:marLeft w:val="0"/>
          <w:marRight w:val="0"/>
          <w:marTop w:val="0"/>
          <w:marBottom w:val="0"/>
          <w:divBdr>
            <w:top w:val="none" w:sz="0" w:space="0" w:color="auto"/>
            <w:left w:val="none" w:sz="0" w:space="0" w:color="auto"/>
            <w:bottom w:val="none" w:sz="0" w:space="0" w:color="auto"/>
            <w:right w:val="none" w:sz="0" w:space="0" w:color="auto"/>
          </w:divBdr>
        </w:div>
        <w:div w:id="4672009">
          <w:marLeft w:val="0"/>
          <w:marRight w:val="0"/>
          <w:marTop w:val="0"/>
          <w:marBottom w:val="0"/>
          <w:divBdr>
            <w:top w:val="none" w:sz="0" w:space="0" w:color="auto"/>
            <w:left w:val="none" w:sz="0" w:space="0" w:color="auto"/>
            <w:bottom w:val="none" w:sz="0" w:space="0" w:color="auto"/>
            <w:right w:val="none" w:sz="0" w:space="0" w:color="auto"/>
          </w:divBdr>
        </w:div>
        <w:div w:id="1511724515">
          <w:marLeft w:val="0"/>
          <w:marRight w:val="0"/>
          <w:marTop w:val="0"/>
          <w:marBottom w:val="0"/>
          <w:divBdr>
            <w:top w:val="none" w:sz="0" w:space="0" w:color="auto"/>
            <w:left w:val="none" w:sz="0" w:space="0" w:color="auto"/>
            <w:bottom w:val="none" w:sz="0" w:space="0" w:color="auto"/>
            <w:right w:val="none" w:sz="0" w:space="0" w:color="auto"/>
          </w:divBdr>
        </w:div>
        <w:div w:id="878975589">
          <w:marLeft w:val="0"/>
          <w:marRight w:val="0"/>
          <w:marTop w:val="0"/>
          <w:marBottom w:val="0"/>
          <w:divBdr>
            <w:top w:val="none" w:sz="0" w:space="0" w:color="auto"/>
            <w:left w:val="none" w:sz="0" w:space="0" w:color="auto"/>
            <w:bottom w:val="none" w:sz="0" w:space="0" w:color="auto"/>
            <w:right w:val="none" w:sz="0" w:space="0" w:color="auto"/>
          </w:divBdr>
        </w:div>
        <w:div w:id="612395680">
          <w:marLeft w:val="0"/>
          <w:marRight w:val="0"/>
          <w:marTop w:val="0"/>
          <w:marBottom w:val="0"/>
          <w:divBdr>
            <w:top w:val="none" w:sz="0" w:space="0" w:color="auto"/>
            <w:left w:val="none" w:sz="0" w:space="0" w:color="auto"/>
            <w:bottom w:val="none" w:sz="0" w:space="0" w:color="auto"/>
            <w:right w:val="none" w:sz="0" w:space="0" w:color="auto"/>
          </w:divBdr>
        </w:div>
        <w:div w:id="510532091">
          <w:marLeft w:val="0"/>
          <w:marRight w:val="0"/>
          <w:marTop w:val="0"/>
          <w:marBottom w:val="0"/>
          <w:divBdr>
            <w:top w:val="none" w:sz="0" w:space="0" w:color="auto"/>
            <w:left w:val="none" w:sz="0" w:space="0" w:color="auto"/>
            <w:bottom w:val="none" w:sz="0" w:space="0" w:color="auto"/>
            <w:right w:val="none" w:sz="0" w:space="0" w:color="auto"/>
          </w:divBdr>
        </w:div>
        <w:div w:id="1061639923">
          <w:marLeft w:val="0"/>
          <w:marRight w:val="0"/>
          <w:marTop w:val="0"/>
          <w:marBottom w:val="0"/>
          <w:divBdr>
            <w:top w:val="none" w:sz="0" w:space="0" w:color="auto"/>
            <w:left w:val="none" w:sz="0" w:space="0" w:color="auto"/>
            <w:bottom w:val="none" w:sz="0" w:space="0" w:color="auto"/>
            <w:right w:val="none" w:sz="0" w:space="0" w:color="auto"/>
          </w:divBdr>
        </w:div>
        <w:div w:id="1422289290">
          <w:marLeft w:val="0"/>
          <w:marRight w:val="0"/>
          <w:marTop w:val="0"/>
          <w:marBottom w:val="0"/>
          <w:divBdr>
            <w:top w:val="none" w:sz="0" w:space="0" w:color="auto"/>
            <w:left w:val="none" w:sz="0" w:space="0" w:color="auto"/>
            <w:bottom w:val="none" w:sz="0" w:space="0" w:color="auto"/>
            <w:right w:val="none" w:sz="0" w:space="0" w:color="auto"/>
          </w:divBdr>
        </w:div>
        <w:div w:id="1811819492">
          <w:marLeft w:val="0"/>
          <w:marRight w:val="0"/>
          <w:marTop w:val="0"/>
          <w:marBottom w:val="0"/>
          <w:divBdr>
            <w:top w:val="none" w:sz="0" w:space="0" w:color="auto"/>
            <w:left w:val="none" w:sz="0" w:space="0" w:color="auto"/>
            <w:bottom w:val="none" w:sz="0" w:space="0" w:color="auto"/>
            <w:right w:val="none" w:sz="0" w:space="0" w:color="auto"/>
          </w:divBdr>
        </w:div>
        <w:div w:id="1779984049">
          <w:marLeft w:val="0"/>
          <w:marRight w:val="0"/>
          <w:marTop w:val="0"/>
          <w:marBottom w:val="0"/>
          <w:divBdr>
            <w:top w:val="none" w:sz="0" w:space="0" w:color="auto"/>
            <w:left w:val="none" w:sz="0" w:space="0" w:color="auto"/>
            <w:bottom w:val="none" w:sz="0" w:space="0" w:color="auto"/>
            <w:right w:val="none" w:sz="0" w:space="0" w:color="auto"/>
          </w:divBdr>
        </w:div>
        <w:div w:id="1250042987">
          <w:marLeft w:val="0"/>
          <w:marRight w:val="0"/>
          <w:marTop w:val="0"/>
          <w:marBottom w:val="0"/>
          <w:divBdr>
            <w:top w:val="none" w:sz="0" w:space="0" w:color="auto"/>
            <w:left w:val="none" w:sz="0" w:space="0" w:color="auto"/>
            <w:bottom w:val="none" w:sz="0" w:space="0" w:color="auto"/>
            <w:right w:val="none" w:sz="0" w:space="0" w:color="auto"/>
          </w:divBdr>
        </w:div>
        <w:div w:id="782117612">
          <w:marLeft w:val="0"/>
          <w:marRight w:val="0"/>
          <w:marTop w:val="0"/>
          <w:marBottom w:val="0"/>
          <w:divBdr>
            <w:top w:val="none" w:sz="0" w:space="0" w:color="auto"/>
            <w:left w:val="none" w:sz="0" w:space="0" w:color="auto"/>
            <w:bottom w:val="none" w:sz="0" w:space="0" w:color="auto"/>
            <w:right w:val="none" w:sz="0" w:space="0" w:color="auto"/>
          </w:divBdr>
        </w:div>
        <w:div w:id="942999224">
          <w:marLeft w:val="0"/>
          <w:marRight w:val="0"/>
          <w:marTop w:val="0"/>
          <w:marBottom w:val="0"/>
          <w:divBdr>
            <w:top w:val="none" w:sz="0" w:space="0" w:color="auto"/>
            <w:left w:val="none" w:sz="0" w:space="0" w:color="auto"/>
            <w:bottom w:val="none" w:sz="0" w:space="0" w:color="auto"/>
            <w:right w:val="none" w:sz="0" w:space="0" w:color="auto"/>
          </w:divBdr>
        </w:div>
        <w:div w:id="1523320379">
          <w:marLeft w:val="0"/>
          <w:marRight w:val="0"/>
          <w:marTop w:val="0"/>
          <w:marBottom w:val="0"/>
          <w:divBdr>
            <w:top w:val="none" w:sz="0" w:space="0" w:color="auto"/>
            <w:left w:val="none" w:sz="0" w:space="0" w:color="auto"/>
            <w:bottom w:val="none" w:sz="0" w:space="0" w:color="auto"/>
            <w:right w:val="none" w:sz="0" w:space="0" w:color="auto"/>
          </w:divBdr>
        </w:div>
        <w:div w:id="132987631">
          <w:marLeft w:val="0"/>
          <w:marRight w:val="0"/>
          <w:marTop w:val="0"/>
          <w:marBottom w:val="0"/>
          <w:divBdr>
            <w:top w:val="none" w:sz="0" w:space="0" w:color="auto"/>
            <w:left w:val="none" w:sz="0" w:space="0" w:color="auto"/>
            <w:bottom w:val="none" w:sz="0" w:space="0" w:color="auto"/>
            <w:right w:val="none" w:sz="0" w:space="0" w:color="auto"/>
          </w:divBdr>
        </w:div>
        <w:div w:id="247688892">
          <w:marLeft w:val="0"/>
          <w:marRight w:val="0"/>
          <w:marTop w:val="0"/>
          <w:marBottom w:val="0"/>
          <w:divBdr>
            <w:top w:val="none" w:sz="0" w:space="0" w:color="auto"/>
            <w:left w:val="none" w:sz="0" w:space="0" w:color="auto"/>
            <w:bottom w:val="none" w:sz="0" w:space="0" w:color="auto"/>
            <w:right w:val="none" w:sz="0" w:space="0" w:color="auto"/>
          </w:divBdr>
        </w:div>
        <w:div w:id="975915688">
          <w:marLeft w:val="0"/>
          <w:marRight w:val="0"/>
          <w:marTop w:val="0"/>
          <w:marBottom w:val="0"/>
          <w:divBdr>
            <w:top w:val="none" w:sz="0" w:space="0" w:color="auto"/>
            <w:left w:val="none" w:sz="0" w:space="0" w:color="auto"/>
            <w:bottom w:val="none" w:sz="0" w:space="0" w:color="auto"/>
            <w:right w:val="none" w:sz="0" w:space="0" w:color="auto"/>
          </w:divBdr>
        </w:div>
        <w:div w:id="927688915">
          <w:marLeft w:val="0"/>
          <w:marRight w:val="0"/>
          <w:marTop w:val="0"/>
          <w:marBottom w:val="0"/>
          <w:divBdr>
            <w:top w:val="none" w:sz="0" w:space="0" w:color="auto"/>
            <w:left w:val="none" w:sz="0" w:space="0" w:color="auto"/>
            <w:bottom w:val="none" w:sz="0" w:space="0" w:color="auto"/>
            <w:right w:val="none" w:sz="0" w:space="0" w:color="auto"/>
          </w:divBdr>
        </w:div>
        <w:div w:id="159347654">
          <w:marLeft w:val="0"/>
          <w:marRight w:val="0"/>
          <w:marTop w:val="0"/>
          <w:marBottom w:val="0"/>
          <w:divBdr>
            <w:top w:val="none" w:sz="0" w:space="0" w:color="auto"/>
            <w:left w:val="none" w:sz="0" w:space="0" w:color="auto"/>
            <w:bottom w:val="none" w:sz="0" w:space="0" w:color="auto"/>
            <w:right w:val="none" w:sz="0" w:space="0" w:color="auto"/>
          </w:divBdr>
        </w:div>
        <w:div w:id="463618568">
          <w:marLeft w:val="0"/>
          <w:marRight w:val="0"/>
          <w:marTop w:val="0"/>
          <w:marBottom w:val="0"/>
          <w:divBdr>
            <w:top w:val="none" w:sz="0" w:space="0" w:color="auto"/>
            <w:left w:val="none" w:sz="0" w:space="0" w:color="auto"/>
            <w:bottom w:val="none" w:sz="0" w:space="0" w:color="auto"/>
            <w:right w:val="none" w:sz="0" w:space="0" w:color="auto"/>
          </w:divBdr>
        </w:div>
        <w:div w:id="1119448884">
          <w:marLeft w:val="0"/>
          <w:marRight w:val="0"/>
          <w:marTop w:val="0"/>
          <w:marBottom w:val="0"/>
          <w:divBdr>
            <w:top w:val="none" w:sz="0" w:space="0" w:color="auto"/>
            <w:left w:val="none" w:sz="0" w:space="0" w:color="auto"/>
            <w:bottom w:val="none" w:sz="0" w:space="0" w:color="auto"/>
            <w:right w:val="none" w:sz="0" w:space="0" w:color="auto"/>
          </w:divBdr>
        </w:div>
        <w:div w:id="1012799150">
          <w:marLeft w:val="0"/>
          <w:marRight w:val="0"/>
          <w:marTop w:val="0"/>
          <w:marBottom w:val="0"/>
          <w:divBdr>
            <w:top w:val="none" w:sz="0" w:space="0" w:color="auto"/>
            <w:left w:val="none" w:sz="0" w:space="0" w:color="auto"/>
            <w:bottom w:val="none" w:sz="0" w:space="0" w:color="auto"/>
            <w:right w:val="none" w:sz="0" w:space="0" w:color="auto"/>
          </w:divBdr>
        </w:div>
        <w:div w:id="513226600">
          <w:marLeft w:val="0"/>
          <w:marRight w:val="0"/>
          <w:marTop w:val="0"/>
          <w:marBottom w:val="0"/>
          <w:divBdr>
            <w:top w:val="none" w:sz="0" w:space="0" w:color="auto"/>
            <w:left w:val="none" w:sz="0" w:space="0" w:color="auto"/>
            <w:bottom w:val="none" w:sz="0" w:space="0" w:color="auto"/>
            <w:right w:val="none" w:sz="0" w:space="0" w:color="auto"/>
          </w:divBdr>
        </w:div>
        <w:div w:id="898904562">
          <w:marLeft w:val="0"/>
          <w:marRight w:val="0"/>
          <w:marTop w:val="0"/>
          <w:marBottom w:val="0"/>
          <w:divBdr>
            <w:top w:val="none" w:sz="0" w:space="0" w:color="auto"/>
            <w:left w:val="none" w:sz="0" w:space="0" w:color="auto"/>
            <w:bottom w:val="none" w:sz="0" w:space="0" w:color="auto"/>
            <w:right w:val="none" w:sz="0" w:space="0" w:color="auto"/>
          </w:divBdr>
        </w:div>
        <w:div w:id="624392862">
          <w:marLeft w:val="0"/>
          <w:marRight w:val="0"/>
          <w:marTop w:val="0"/>
          <w:marBottom w:val="0"/>
          <w:divBdr>
            <w:top w:val="none" w:sz="0" w:space="0" w:color="auto"/>
            <w:left w:val="none" w:sz="0" w:space="0" w:color="auto"/>
            <w:bottom w:val="none" w:sz="0" w:space="0" w:color="auto"/>
            <w:right w:val="none" w:sz="0" w:space="0" w:color="auto"/>
          </w:divBdr>
        </w:div>
        <w:div w:id="489950716">
          <w:marLeft w:val="0"/>
          <w:marRight w:val="0"/>
          <w:marTop w:val="0"/>
          <w:marBottom w:val="0"/>
          <w:divBdr>
            <w:top w:val="none" w:sz="0" w:space="0" w:color="auto"/>
            <w:left w:val="none" w:sz="0" w:space="0" w:color="auto"/>
            <w:bottom w:val="none" w:sz="0" w:space="0" w:color="auto"/>
            <w:right w:val="none" w:sz="0" w:space="0" w:color="auto"/>
          </w:divBdr>
        </w:div>
        <w:div w:id="2070032194">
          <w:marLeft w:val="0"/>
          <w:marRight w:val="0"/>
          <w:marTop w:val="0"/>
          <w:marBottom w:val="0"/>
          <w:divBdr>
            <w:top w:val="none" w:sz="0" w:space="0" w:color="auto"/>
            <w:left w:val="none" w:sz="0" w:space="0" w:color="auto"/>
            <w:bottom w:val="none" w:sz="0" w:space="0" w:color="auto"/>
            <w:right w:val="none" w:sz="0" w:space="0" w:color="auto"/>
          </w:divBdr>
        </w:div>
        <w:div w:id="103185742">
          <w:marLeft w:val="0"/>
          <w:marRight w:val="0"/>
          <w:marTop w:val="0"/>
          <w:marBottom w:val="0"/>
          <w:divBdr>
            <w:top w:val="none" w:sz="0" w:space="0" w:color="auto"/>
            <w:left w:val="none" w:sz="0" w:space="0" w:color="auto"/>
            <w:bottom w:val="none" w:sz="0" w:space="0" w:color="auto"/>
            <w:right w:val="none" w:sz="0" w:space="0" w:color="auto"/>
          </w:divBdr>
        </w:div>
        <w:div w:id="1203446373">
          <w:marLeft w:val="0"/>
          <w:marRight w:val="0"/>
          <w:marTop w:val="0"/>
          <w:marBottom w:val="0"/>
          <w:divBdr>
            <w:top w:val="none" w:sz="0" w:space="0" w:color="auto"/>
            <w:left w:val="none" w:sz="0" w:space="0" w:color="auto"/>
            <w:bottom w:val="none" w:sz="0" w:space="0" w:color="auto"/>
            <w:right w:val="none" w:sz="0" w:space="0" w:color="auto"/>
          </w:divBdr>
        </w:div>
        <w:div w:id="421726243">
          <w:marLeft w:val="0"/>
          <w:marRight w:val="0"/>
          <w:marTop w:val="0"/>
          <w:marBottom w:val="0"/>
          <w:divBdr>
            <w:top w:val="none" w:sz="0" w:space="0" w:color="auto"/>
            <w:left w:val="none" w:sz="0" w:space="0" w:color="auto"/>
            <w:bottom w:val="none" w:sz="0" w:space="0" w:color="auto"/>
            <w:right w:val="none" w:sz="0" w:space="0" w:color="auto"/>
          </w:divBdr>
        </w:div>
        <w:div w:id="727606417">
          <w:marLeft w:val="0"/>
          <w:marRight w:val="0"/>
          <w:marTop w:val="0"/>
          <w:marBottom w:val="0"/>
          <w:divBdr>
            <w:top w:val="none" w:sz="0" w:space="0" w:color="auto"/>
            <w:left w:val="none" w:sz="0" w:space="0" w:color="auto"/>
            <w:bottom w:val="none" w:sz="0" w:space="0" w:color="auto"/>
            <w:right w:val="none" w:sz="0" w:space="0" w:color="auto"/>
          </w:divBdr>
        </w:div>
        <w:div w:id="975909668">
          <w:marLeft w:val="0"/>
          <w:marRight w:val="0"/>
          <w:marTop w:val="0"/>
          <w:marBottom w:val="0"/>
          <w:divBdr>
            <w:top w:val="none" w:sz="0" w:space="0" w:color="auto"/>
            <w:left w:val="none" w:sz="0" w:space="0" w:color="auto"/>
            <w:bottom w:val="none" w:sz="0" w:space="0" w:color="auto"/>
            <w:right w:val="none" w:sz="0" w:space="0" w:color="auto"/>
          </w:divBdr>
        </w:div>
        <w:div w:id="2011331193">
          <w:marLeft w:val="0"/>
          <w:marRight w:val="0"/>
          <w:marTop w:val="0"/>
          <w:marBottom w:val="0"/>
          <w:divBdr>
            <w:top w:val="none" w:sz="0" w:space="0" w:color="auto"/>
            <w:left w:val="none" w:sz="0" w:space="0" w:color="auto"/>
            <w:bottom w:val="none" w:sz="0" w:space="0" w:color="auto"/>
            <w:right w:val="none" w:sz="0" w:space="0" w:color="auto"/>
          </w:divBdr>
        </w:div>
        <w:div w:id="498740524">
          <w:marLeft w:val="0"/>
          <w:marRight w:val="0"/>
          <w:marTop w:val="0"/>
          <w:marBottom w:val="180"/>
          <w:divBdr>
            <w:top w:val="none" w:sz="0" w:space="0" w:color="auto"/>
            <w:left w:val="none" w:sz="0" w:space="0" w:color="auto"/>
            <w:bottom w:val="none" w:sz="0" w:space="0" w:color="auto"/>
            <w:right w:val="none" w:sz="0" w:space="0" w:color="auto"/>
          </w:divBdr>
        </w:div>
        <w:div w:id="326398532">
          <w:marLeft w:val="0"/>
          <w:marRight w:val="0"/>
          <w:marTop w:val="0"/>
          <w:marBottom w:val="180"/>
          <w:divBdr>
            <w:top w:val="none" w:sz="0" w:space="0" w:color="auto"/>
            <w:left w:val="none" w:sz="0" w:space="0" w:color="auto"/>
            <w:bottom w:val="none" w:sz="0" w:space="0" w:color="auto"/>
            <w:right w:val="none" w:sz="0" w:space="0" w:color="auto"/>
          </w:divBdr>
        </w:div>
        <w:div w:id="1184636225">
          <w:marLeft w:val="0"/>
          <w:marRight w:val="0"/>
          <w:marTop w:val="0"/>
          <w:marBottom w:val="180"/>
          <w:divBdr>
            <w:top w:val="none" w:sz="0" w:space="0" w:color="auto"/>
            <w:left w:val="none" w:sz="0" w:space="0" w:color="auto"/>
            <w:bottom w:val="none" w:sz="0" w:space="0" w:color="auto"/>
            <w:right w:val="none" w:sz="0" w:space="0" w:color="auto"/>
          </w:divBdr>
        </w:div>
        <w:div w:id="1316493469">
          <w:marLeft w:val="0"/>
          <w:marRight w:val="0"/>
          <w:marTop w:val="0"/>
          <w:marBottom w:val="180"/>
          <w:divBdr>
            <w:top w:val="none" w:sz="0" w:space="0" w:color="auto"/>
            <w:left w:val="none" w:sz="0" w:space="0" w:color="auto"/>
            <w:bottom w:val="none" w:sz="0" w:space="0" w:color="auto"/>
            <w:right w:val="none" w:sz="0" w:space="0" w:color="auto"/>
          </w:divBdr>
        </w:div>
        <w:div w:id="1383092327">
          <w:marLeft w:val="0"/>
          <w:marRight w:val="0"/>
          <w:marTop w:val="0"/>
          <w:marBottom w:val="180"/>
          <w:divBdr>
            <w:top w:val="none" w:sz="0" w:space="0" w:color="auto"/>
            <w:left w:val="none" w:sz="0" w:space="0" w:color="auto"/>
            <w:bottom w:val="none" w:sz="0" w:space="0" w:color="auto"/>
            <w:right w:val="none" w:sz="0" w:space="0" w:color="auto"/>
          </w:divBdr>
        </w:div>
        <w:div w:id="397171083">
          <w:marLeft w:val="0"/>
          <w:marRight w:val="0"/>
          <w:marTop w:val="0"/>
          <w:marBottom w:val="180"/>
          <w:divBdr>
            <w:top w:val="none" w:sz="0" w:space="0" w:color="auto"/>
            <w:left w:val="none" w:sz="0" w:space="0" w:color="auto"/>
            <w:bottom w:val="none" w:sz="0" w:space="0" w:color="auto"/>
            <w:right w:val="none" w:sz="0" w:space="0" w:color="auto"/>
          </w:divBdr>
        </w:div>
        <w:div w:id="1307932932">
          <w:marLeft w:val="0"/>
          <w:marRight w:val="0"/>
          <w:marTop w:val="0"/>
          <w:marBottom w:val="180"/>
          <w:divBdr>
            <w:top w:val="none" w:sz="0" w:space="0" w:color="auto"/>
            <w:left w:val="none" w:sz="0" w:space="0" w:color="auto"/>
            <w:bottom w:val="none" w:sz="0" w:space="0" w:color="auto"/>
            <w:right w:val="none" w:sz="0" w:space="0" w:color="auto"/>
          </w:divBdr>
        </w:div>
        <w:div w:id="1016344430">
          <w:marLeft w:val="0"/>
          <w:marRight w:val="0"/>
          <w:marTop w:val="0"/>
          <w:marBottom w:val="180"/>
          <w:divBdr>
            <w:top w:val="none" w:sz="0" w:space="0" w:color="auto"/>
            <w:left w:val="none" w:sz="0" w:space="0" w:color="auto"/>
            <w:bottom w:val="none" w:sz="0" w:space="0" w:color="auto"/>
            <w:right w:val="none" w:sz="0" w:space="0" w:color="auto"/>
          </w:divBdr>
        </w:div>
        <w:div w:id="708649882">
          <w:marLeft w:val="0"/>
          <w:marRight w:val="0"/>
          <w:marTop w:val="0"/>
          <w:marBottom w:val="180"/>
          <w:divBdr>
            <w:top w:val="none" w:sz="0" w:space="0" w:color="auto"/>
            <w:left w:val="none" w:sz="0" w:space="0" w:color="auto"/>
            <w:bottom w:val="none" w:sz="0" w:space="0" w:color="auto"/>
            <w:right w:val="none" w:sz="0" w:space="0" w:color="auto"/>
          </w:divBdr>
        </w:div>
        <w:div w:id="1764491415">
          <w:marLeft w:val="0"/>
          <w:marRight w:val="0"/>
          <w:marTop w:val="0"/>
          <w:marBottom w:val="180"/>
          <w:divBdr>
            <w:top w:val="none" w:sz="0" w:space="0" w:color="auto"/>
            <w:left w:val="none" w:sz="0" w:space="0" w:color="auto"/>
            <w:bottom w:val="none" w:sz="0" w:space="0" w:color="auto"/>
            <w:right w:val="none" w:sz="0" w:space="0" w:color="auto"/>
          </w:divBdr>
        </w:div>
        <w:div w:id="637682138">
          <w:marLeft w:val="0"/>
          <w:marRight w:val="0"/>
          <w:marTop w:val="0"/>
          <w:marBottom w:val="180"/>
          <w:divBdr>
            <w:top w:val="none" w:sz="0" w:space="0" w:color="auto"/>
            <w:left w:val="none" w:sz="0" w:space="0" w:color="auto"/>
            <w:bottom w:val="none" w:sz="0" w:space="0" w:color="auto"/>
            <w:right w:val="none" w:sz="0" w:space="0" w:color="auto"/>
          </w:divBdr>
        </w:div>
        <w:div w:id="1423333204">
          <w:marLeft w:val="0"/>
          <w:marRight w:val="0"/>
          <w:marTop w:val="0"/>
          <w:marBottom w:val="180"/>
          <w:divBdr>
            <w:top w:val="none" w:sz="0" w:space="0" w:color="auto"/>
            <w:left w:val="none" w:sz="0" w:space="0" w:color="auto"/>
            <w:bottom w:val="none" w:sz="0" w:space="0" w:color="auto"/>
            <w:right w:val="none" w:sz="0" w:space="0" w:color="auto"/>
          </w:divBdr>
        </w:div>
        <w:div w:id="1132138208">
          <w:marLeft w:val="0"/>
          <w:marRight w:val="0"/>
          <w:marTop w:val="0"/>
          <w:marBottom w:val="180"/>
          <w:divBdr>
            <w:top w:val="none" w:sz="0" w:space="0" w:color="auto"/>
            <w:left w:val="none" w:sz="0" w:space="0" w:color="auto"/>
            <w:bottom w:val="none" w:sz="0" w:space="0" w:color="auto"/>
            <w:right w:val="none" w:sz="0" w:space="0" w:color="auto"/>
          </w:divBdr>
        </w:div>
        <w:div w:id="761802574">
          <w:marLeft w:val="0"/>
          <w:marRight w:val="0"/>
          <w:marTop w:val="0"/>
          <w:marBottom w:val="0"/>
          <w:divBdr>
            <w:top w:val="none" w:sz="0" w:space="0" w:color="auto"/>
            <w:left w:val="none" w:sz="0" w:space="0" w:color="auto"/>
            <w:bottom w:val="none" w:sz="0" w:space="0" w:color="auto"/>
            <w:right w:val="none" w:sz="0" w:space="0" w:color="auto"/>
          </w:divBdr>
        </w:div>
        <w:div w:id="1266763387">
          <w:marLeft w:val="0"/>
          <w:marRight w:val="0"/>
          <w:marTop w:val="0"/>
          <w:marBottom w:val="0"/>
          <w:divBdr>
            <w:top w:val="none" w:sz="0" w:space="0" w:color="auto"/>
            <w:left w:val="none" w:sz="0" w:space="0" w:color="auto"/>
            <w:bottom w:val="none" w:sz="0" w:space="0" w:color="auto"/>
            <w:right w:val="none" w:sz="0" w:space="0" w:color="auto"/>
          </w:divBdr>
        </w:div>
        <w:div w:id="1856845342">
          <w:marLeft w:val="0"/>
          <w:marRight w:val="0"/>
          <w:marTop w:val="0"/>
          <w:marBottom w:val="0"/>
          <w:divBdr>
            <w:top w:val="none" w:sz="0" w:space="0" w:color="auto"/>
            <w:left w:val="none" w:sz="0" w:space="0" w:color="auto"/>
            <w:bottom w:val="none" w:sz="0" w:space="0" w:color="auto"/>
            <w:right w:val="none" w:sz="0" w:space="0" w:color="auto"/>
          </w:divBdr>
        </w:div>
        <w:div w:id="1045909040">
          <w:marLeft w:val="0"/>
          <w:marRight w:val="0"/>
          <w:marTop w:val="0"/>
          <w:marBottom w:val="0"/>
          <w:divBdr>
            <w:top w:val="none" w:sz="0" w:space="0" w:color="auto"/>
            <w:left w:val="none" w:sz="0" w:space="0" w:color="auto"/>
            <w:bottom w:val="none" w:sz="0" w:space="0" w:color="auto"/>
            <w:right w:val="none" w:sz="0" w:space="0" w:color="auto"/>
          </w:divBdr>
        </w:div>
        <w:div w:id="762576908">
          <w:marLeft w:val="0"/>
          <w:marRight w:val="0"/>
          <w:marTop w:val="0"/>
          <w:marBottom w:val="0"/>
          <w:divBdr>
            <w:top w:val="none" w:sz="0" w:space="0" w:color="auto"/>
            <w:left w:val="none" w:sz="0" w:space="0" w:color="auto"/>
            <w:bottom w:val="none" w:sz="0" w:space="0" w:color="auto"/>
            <w:right w:val="none" w:sz="0" w:space="0" w:color="auto"/>
          </w:divBdr>
        </w:div>
        <w:div w:id="1484472285">
          <w:marLeft w:val="0"/>
          <w:marRight w:val="0"/>
          <w:marTop w:val="0"/>
          <w:marBottom w:val="0"/>
          <w:divBdr>
            <w:top w:val="none" w:sz="0" w:space="0" w:color="auto"/>
            <w:left w:val="none" w:sz="0" w:space="0" w:color="auto"/>
            <w:bottom w:val="none" w:sz="0" w:space="0" w:color="auto"/>
            <w:right w:val="none" w:sz="0" w:space="0" w:color="auto"/>
          </w:divBdr>
        </w:div>
        <w:div w:id="521553242">
          <w:marLeft w:val="0"/>
          <w:marRight w:val="0"/>
          <w:marTop w:val="0"/>
          <w:marBottom w:val="0"/>
          <w:divBdr>
            <w:top w:val="none" w:sz="0" w:space="0" w:color="auto"/>
            <w:left w:val="none" w:sz="0" w:space="0" w:color="auto"/>
            <w:bottom w:val="none" w:sz="0" w:space="0" w:color="auto"/>
            <w:right w:val="none" w:sz="0" w:space="0" w:color="auto"/>
          </w:divBdr>
        </w:div>
        <w:div w:id="544293918">
          <w:marLeft w:val="0"/>
          <w:marRight w:val="0"/>
          <w:marTop w:val="0"/>
          <w:marBottom w:val="0"/>
          <w:divBdr>
            <w:top w:val="none" w:sz="0" w:space="0" w:color="auto"/>
            <w:left w:val="none" w:sz="0" w:space="0" w:color="auto"/>
            <w:bottom w:val="none" w:sz="0" w:space="0" w:color="auto"/>
            <w:right w:val="none" w:sz="0" w:space="0" w:color="auto"/>
          </w:divBdr>
        </w:div>
        <w:div w:id="1409691361">
          <w:marLeft w:val="0"/>
          <w:marRight w:val="0"/>
          <w:marTop w:val="0"/>
          <w:marBottom w:val="0"/>
          <w:divBdr>
            <w:top w:val="none" w:sz="0" w:space="0" w:color="auto"/>
            <w:left w:val="none" w:sz="0" w:space="0" w:color="auto"/>
            <w:bottom w:val="none" w:sz="0" w:space="0" w:color="auto"/>
            <w:right w:val="none" w:sz="0" w:space="0" w:color="auto"/>
          </w:divBdr>
        </w:div>
        <w:div w:id="29234985">
          <w:marLeft w:val="0"/>
          <w:marRight w:val="0"/>
          <w:marTop w:val="0"/>
          <w:marBottom w:val="0"/>
          <w:divBdr>
            <w:top w:val="none" w:sz="0" w:space="0" w:color="auto"/>
            <w:left w:val="none" w:sz="0" w:space="0" w:color="auto"/>
            <w:bottom w:val="none" w:sz="0" w:space="0" w:color="auto"/>
            <w:right w:val="none" w:sz="0" w:space="0" w:color="auto"/>
          </w:divBdr>
        </w:div>
        <w:div w:id="30499699">
          <w:marLeft w:val="0"/>
          <w:marRight w:val="0"/>
          <w:marTop w:val="0"/>
          <w:marBottom w:val="0"/>
          <w:divBdr>
            <w:top w:val="none" w:sz="0" w:space="0" w:color="auto"/>
            <w:left w:val="none" w:sz="0" w:space="0" w:color="auto"/>
            <w:bottom w:val="none" w:sz="0" w:space="0" w:color="auto"/>
            <w:right w:val="none" w:sz="0" w:space="0" w:color="auto"/>
          </w:divBdr>
        </w:div>
        <w:div w:id="1553155936">
          <w:marLeft w:val="0"/>
          <w:marRight w:val="0"/>
          <w:marTop w:val="0"/>
          <w:marBottom w:val="0"/>
          <w:divBdr>
            <w:top w:val="none" w:sz="0" w:space="0" w:color="auto"/>
            <w:left w:val="none" w:sz="0" w:space="0" w:color="auto"/>
            <w:bottom w:val="none" w:sz="0" w:space="0" w:color="auto"/>
            <w:right w:val="none" w:sz="0" w:space="0" w:color="auto"/>
          </w:divBdr>
        </w:div>
        <w:div w:id="1149127927">
          <w:marLeft w:val="0"/>
          <w:marRight w:val="0"/>
          <w:marTop w:val="0"/>
          <w:marBottom w:val="0"/>
          <w:divBdr>
            <w:top w:val="none" w:sz="0" w:space="0" w:color="auto"/>
            <w:left w:val="none" w:sz="0" w:space="0" w:color="auto"/>
            <w:bottom w:val="none" w:sz="0" w:space="0" w:color="auto"/>
            <w:right w:val="none" w:sz="0" w:space="0" w:color="auto"/>
          </w:divBdr>
        </w:div>
        <w:div w:id="729695802">
          <w:marLeft w:val="0"/>
          <w:marRight w:val="0"/>
          <w:marTop w:val="0"/>
          <w:marBottom w:val="0"/>
          <w:divBdr>
            <w:top w:val="none" w:sz="0" w:space="0" w:color="auto"/>
            <w:left w:val="none" w:sz="0" w:space="0" w:color="auto"/>
            <w:bottom w:val="none" w:sz="0" w:space="0" w:color="auto"/>
            <w:right w:val="none" w:sz="0" w:space="0" w:color="auto"/>
          </w:divBdr>
        </w:div>
        <w:div w:id="1136488423">
          <w:marLeft w:val="0"/>
          <w:marRight w:val="0"/>
          <w:marTop w:val="0"/>
          <w:marBottom w:val="0"/>
          <w:divBdr>
            <w:top w:val="none" w:sz="0" w:space="0" w:color="auto"/>
            <w:left w:val="none" w:sz="0" w:space="0" w:color="auto"/>
            <w:bottom w:val="none" w:sz="0" w:space="0" w:color="auto"/>
            <w:right w:val="none" w:sz="0" w:space="0" w:color="auto"/>
          </w:divBdr>
        </w:div>
        <w:div w:id="213125223">
          <w:marLeft w:val="0"/>
          <w:marRight w:val="0"/>
          <w:marTop w:val="0"/>
          <w:marBottom w:val="0"/>
          <w:divBdr>
            <w:top w:val="none" w:sz="0" w:space="0" w:color="auto"/>
            <w:left w:val="none" w:sz="0" w:space="0" w:color="auto"/>
            <w:bottom w:val="none" w:sz="0" w:space="0" w:color="auto"/>
            <w:right w:val="none" w:sz="0" w:space="0" w:color="auto"/>
          </w:divBdr>
        </w:div>
        <w:div w:id="1629582766">
          <w:marLeft w:val="0"/>
          <w:marRight w:val="0"/>
          <w:marTop w:val="0"/>
          <w:marBottom w:val="0"/>
          <w:divBdr>
            <w:top w:val="none" w:sz="0" w:space="0" w:color="auto"/>
            <w:left w:val="none" w:sz="0" w:space="0" w:color="auto"/>
            <w:bottom w:val="none" w:sz="0" w:space="0" w:color="auto"/>
            <w:right w:val="none" w:sz="0" w:space="0" w:color="auto"/>
          </w:divBdr>
        </w:div>
        <w:div w:id="772089817">
          <w:marLeft w:val="0"/>
          <w:marRight w:val="0"/>
          <w:marTop w:val="0"/>
          <w:marBottom w:val="0"/>
          <w:divBdr>
            <w:top w:val="none" w:sz="0" w:space="0" w:color="auto"/>
            <w:left w:val="none" w:sz="0" w:space="0" w:color="auto"/>
            <w:bottom w:val="none" w:sz="0" w:space="0" w:color="auto"/>
            <w:right w:val="none" w:sz="0" w:space="0" w:color="auto"/>
          </w:divBdr>
        </w:div>
        <w:div w:id="1140733884">
          <w:marLeft w:val="0"/>
          <w:marRight w:val="0"/>
          <w:marTop w:val="0"/>
          <w:marBottom w:val="0"/>
          <w:divBdr>
            <w:top w:val="none" w:sz="0" w:space="0" w:color="auto"/>
            <w:left w:val="none" w:sz="0" w:space="0" w:color="auto"/>
            <w:bottom w:val="none" w:sz="0" w:space="0" w:color="auto"/>
            <w:right w:val="none" w:sz="0" w:space="0" w:color="auto"/>
          </w:divBdr>
        </w:div>
        <w:div w:id="1107046195">
          <w:marLeft w:val="0"/>
          <w:marRight w:val="0"/>
          <w:marTop w:val="0"/>
          <w:marBottom w:val="0"/>
          <w:divBdr>
            <w:top w:val="none" w:sz="0" w:space="0" w:color="auto"/>
            <w:left w:val="none" w:sz="0" w:space="0" w:color="auto"/>
            <w:bottom w:val="none" w:sz="0" w:space="0" w:color="auto"/>
            <w:right w:val="none" w:sz="0" w:space="0" w:color="auto"/>
          </w:divBdr>
        </w:div>
        <w:div w:id="1181966847">
          <w:marLeft w:val="0"/>
          <w:marRight w:val="0"/>
          <w:marTop w:val="0"/>
          <w:marBottom w:val="0"/>
          <w:divBdr>
            <w:top w:val="none" w:sz="0" w:space="0" w:color="auto"/>
            <w:left w:val="none" w:sz="0" w:space="0" w:color="auto"/>
            <w:bottom w:val="none" w:sz="0" w:space="0" w:color="auto"/>
            <w:right w:val="none" w:sz="0" w:space="0" w:color="auto"/>
          </w:divBdr>
        </w:div>
        <w:div w:id="337126003">
          <w:marLeft w:val="0"/>
          <w:marRight w:val="0"/>
          <w:marTop w:val="0"/>
          <w:marBottom w:val="0"/>
          <w:divBdr>
            <w:top w:val="none" w:sz="0" w:space="0" w:color="auto"/>
            <w:left w:val="none" w:sz="0" w:space="0" w:color="auto"/>
            <w:bottom w:val="none" w:sz="0" w:space="0" w:color="auto"/>
            <w:right w:val="none" w:sz="0" w:space="0" w:color="auto"/>
          </w:divBdr>
        </w:div>
        <w:div w:id="362370133">
          <w:marLeft w:val="0"/>
          <w:marRight w:val="0"/>
          <w:marTop w:val="0"/>
          <w:marBottom w:val="0"/>
          <w:divBdr>
            <w:top w:val="none" w:sz="0" w:space="0" w:color="auto"/>
            <w:left w:val="none" w:sz="0" w:space="0" w:color="auto"/>
            <w:bottom w:val="none" w:sz="0" w:space="0" w:color="auto"/>
            <w:right w:val="none" w:sz="0" w:space="0" w:color="auto"/>
          </w:divBdr>
        </w:div>
        <w:div w:id="1368606717">
          <w:marLeft w:val="0"/>
          <w:marRight w:val="0"/>
          <w:marTop w:val="0"/>
          <w:marBottom w:val="0"/>
          <w:divBdr>
            <w:top w:val="none" w:sz="0" w:space="0" w:color="auto"/>
            <w:left w:val="none" w:sz="0" w:space="0" w:color="auto"/>
            <w:bottom w:val="none" w:sz="0" w:space="0" w:color="auto"/>
            <w:right w:val="none" w:sz="0" w:space="0" w:color="auto"/>
          </w:divBdr>
        </w:div>
        <w:div w:id="1700471231">
          <w:marLeft w:val="0"/>
          <w:marRight w:val="0"/>
          <w:marTop w:val="0"/>
          <w:marBottom w:val="0"/>
          <w:divBdr>
            <w:top w:val="none" w:sz="0" w:space="0" w:color="auto"/>
            <w:left w:val="none" w:sz="0" w:space="0" w:color="auto"/>
            <w:bottom w:val="none" w:sz="0" w:space="0" w:color="auto"/>
            <w:right w:val="none" w:sz="0" w:space="0" w:color="auto"/>
          </w:divBdr>
        </w:div>
        <w:div w:id="726298842">
          <w:marLeft w:val="0"/>
          <w:marRight w:val="0"/>
          <w:marTop w:val="0"/>
          <w:marBottom w:val="0"/>
          <w:divBdr>
            <w:top w:val="none" w:sz="0" w:space="0" w:color="auto"/>
            <w:left w:val="none" w:sz="0" w:space="0" w:color="auto"/>
            <w:bottom w:val="none" w:sz="0" w:space="0" w:color="auto"/>
            <w:right w:val="none" w:sz="0" w:space="0" w:color="auto"/>
          </w:divBdr>
        </w:div>
        <w:div w:id="92015963">
          <w:marLeft w:val="0"/>
          <w:marRight w:val="0"/>
          <w:marTop w:val="0"/>
          <w:marBottom w:val="0"/>
          <w:divBdr>
            <w:top w:val="none" w:sz="0" w:space="0" w:color="auto"/>
            <w:left w:val="none" w:sz="0" w:space="0" w:color="auto"/>
            <w:bottom w:val="none" w:sz="0" w:space="0" w:color="auto"/>
            <w:right w:val="none" w:sz="0" w:space="0" w:color="auto"/>
          </w:divBdr>
        </w:div>
        <w:div w:id="2049256057">
          <w:marLeft w:val="0"/>
          <w:marRight w:val="0"/>
          <w:marTop w:val="0"/>
          <w:marBottom w:val="0"/>
          <w:divBdr>
            <w:top w:val="none" w:sz="0" w:space="0" w:color="auto"/>
            <w:left w:val="none" w:sz="0" w:space="0" w:color="auto"/>
            <w:bottom w:val="none" w:sz="0" w:space="0" w:color="auto"/>
            <w:right w:val="none" w:sz="0" w:space="0" w:color="auto"/>
          </w:divBdr>
        </w:div>
        <w:div w:id="2060547654">
          <w:marLeft w:val="0"/>
          <w:marRight w:val="0"/>
          <w:marTop w:val="0"/>
          <w:marBottom w:val="0"/>
          <w:divBdr>
            <w:top w:val="none" w:sz="0" w:space="0" w:color="auto"/>
            <w:left w:val="none" w:sz="0" w:space="0" w:color="auto"/>
            <w:bottom w:val="none" w:sz="0" w:space="0" w:color="auto"/>
            <w:right w:val="none" w:sz="0" w:space="0" w:color="auto"/>
          </w:divBdr>
        </w:div>
        <w:div w:id="77098933">
          <w:marLeft w:val="0"/>
          <w:marRight w:val="0"/>
          <w:marTop w:val="0"/>
          <w:marBottom w:val="0"/>
          <w:divBdr>
            <w:top w:val="none" w:sz="0" w:space="0" w:color="auto"/>
            <w:left w:val="none" w:sz="0" w:space="0" w:color="auto"/>
            <w:bottom w:val="none" w:sz="0" w:space="0" w:color="auto"/>
            <w:right w:val="none" w:sz="0" w:space="0" w:color="auto"/>
          </w:divBdr>
        </w:div>
        <w:div w:id="519662281">
          <w:marLeft w:val="0"/>
          <w:marRight w:val="0"/>
          <w:marTop w:val="0"/>
          <w:marBottom w:val="0"/>
          <w:divBdr>
            <w:top w:val="none" w:sz="0" w:space="0" w:color="auto"/>
            <w:left w:val="none" w:sz="0" w:space="0" w:color="auto"/>
            <w:bottom w:val="none" w:sz="0" w:space="0" w:color="auto"/>
            <w:right w:val="none" w:sz="0" w:space="0" w:color="auto"/>
          </w:divBdr>
        </w:div>
      </w:divsChild>
    </w:div>
    <w:div w:id="1082920743">
      <w:bodyDiv w:val="1"/>
      <w:marLeft w:val="0"/>
      <w:marRight w:val="0"/>
      <w:marTop w:val="0"/>
      <w:marBottom w:val="0"/>
      <w:divBdr>
        <w:top w:val="none" w:sz="0" w:space="0" w:color="auto"/>
        <w:left w:val="none" w:sz="0" w:space="0" w:color="auto"/>
        <w:bottom w:val="none" w:sz="0" w:space="0" w:color="auto"/>
        <w:right w:val="none" w:sz="0" w:space="0" w:color="auto"/>
      </w:divBdr>
      <w:divsChild>
        <w:div w:id="22460680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676557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17425781">
                  <w:blockQuote w:val="1"/>
                  <w:marLeft w:val="600"/>
                  <w:marRight w:val="0"/>
                  <w:marTop w:val="120"/>
                  <w:marBottom w:val="120"/>
                  <w:divBdr>
                    <w:top w:val="none" w:sz="0" w:space="0" w:color="auto"/>
                    <w:left w:val="none" w:sz="0" w:space="0" w:color="auto"/>
                    <w:bottom w:val="none" w:sz="0" w:space="0" w:color="auto"/>
                    <w:right w:val="none" w:sz="0" w:space="0" w:color="auto"/>
                  </w:divBdr>
                </w:div>
                <w:div w:id="184099590">
                  <w:blockQuote w:val="1"/>
                  <w:marLeft w:val="600"/>
                  <w:marRight w:val="0"/>
                  <w:marTop w:val="120"/>
                  <w:marBottom w:val="120"/>
                  <w:divBdr>
                    <w:top w:val="none" w:sz="0" w:space="0" w:color="auto"/>
                    <w:left w:val="none" w:sz="0" w:space="0" w:color="auto"/>
                    <w:bottom w:val="none" w:sz="0" w:space="0" w:color="auto"/>
                    <w:right w:val="none" w:sz="0" w:space="0" w:color="auto"/>
                  </w:divBdr>
                </w:div>
                <w:div w:id="582572867">
                  <w:blockQuote w:val="1"/>
                  <w:marLeft w:val="600"/>
                  <w:marRight w:val="0"/>
                  <w:marTop w:val="120"/>
                  <w:marBottom w:val="120"/>
                  <w:divBdr>
                    <w:top w:val="none" w:sz="0" w:space="0" w:color="auto"/>
                    <w:left w:val="none" w:sz="0" w:space="0" w:color="auto"/>
                    <w:bottom w:val="none" w:sz="0" w:space="0" w:color="auto"/>
                    <w:right w:val="none" w:sz="0" w:space="0" w:color="auto"/>
                  </w:divBdr>
                </w:div>
                <w:div w:id="1148129532">
                  <w:blockQuote w:val="1"/>
                  <w:marLeft w:val="600"/>
                  <w:marRight w:val="0"/>
                  <w:marTop w:val="120"/>
                  <w:marBottom w:val="120"/>
                  <w:divBdr>
                    <w:top w:val="none" w:sz="0" w:space="0" w:color="auto"/>
                    <w:left w:val="none" w:sz="0" w:space="0" w:color="auto"/>
                    <w:bottom w:val="none" w:sz="0" w:space="0" w:color="auto"/>
                    <w:right w:val="none" w:sz="0" w:space="0" w:color="auto"/>
                  </w:divBdr>
                </w:div>
                <w:div w:id="638849834">
                  <w:blockQuote w:val="1"/>
                  <w:marLeft w:val="600"/>
                  <w:marRight w:val="0"/>
                  <w:marTop w:val="120"/>
                  <w:marBottom w:val="120"/>
                  <w:divBdr>
                    <w:top w:val="none" w:sz="0" w:space="0" w:color="auto"/>
                    <w:left w:val="none" w:sz="0" w:space="0" w:color="auto"/>
                    <w:bottom w:val="none" w:sz="0" w:space="0" w:color="auto"/>
                    <w:right w:val="none" w:sz="0" w:space="0" w:color="auto"/>
                  </w:divBdr>
                </w:div>
                <w:div w:id="1349058649">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334501356">
              <w:blockQuote w:val="1"/>
              <w:marLeft w:val="600"/>
              <w:marRight w:val="0"/>
              <w:marTop w:val="120"/>
              <w:marBottom w:val="120"/>
              <w:divBdr>
                <w:top w:val="none" w:sz="0" w:space="0" w:color="auto"/>
                <w:left w:val="none" w:sz="0" w:space="0" w:color="auto"/>
                <w:bottom w:val="none" w:sz="0" w:space="0" w:color="auto"/>
                <w:right w:val="none" w:sz="0" w:space="0" w:color="auto"/>
              </w:divBdr>
            </w:div>
            <w:div w:id="501042852">
              <w:blockQuote w:val="1"/>
              <w:marLeft w:val="600"/>
              <w:marRight w:val="0"/>
              <w:marTop w:val="120"/>
              <w:marBottom w:val="120"/>
              <w:divBdr>
                <w:top w:val="none" w:sz="0" w:space="0" w:color="auto"/>
                <w:left w:val="none" w:sz="0" w:space="0" w:color="auto"/>
                <w:bottom w:val="none" w:sz="0" w:space="0" w:color="auto"/>
                <w:right w:val="none" w:sz="0" w:space="0" w:color="auto"/>
              </w:divBdr>
            </w:div>
            <w:div w:id="154995145">
              <w:blockQuote w:val="1"/>
              <w:marLeft w:val="600"/>
              <w:marRight w:val="0"/>
              <w:marTop w:val="120"/>
              <w:marBottom w:val="120"/>
              <w:divBdr>
                <w:top w:val="none" w:sz="0" w:space="0" w:color="auto"/>
                <w:left w:val="none" w:sz="0" w:space="0" w:color="auto"/>
                <w:bottom w:val="none" w:sz="0" w:space="0" w:color="auto"/>
                <w:right w:val="none" w:sz="0" w:space="0" w:color="auto"/>
              </w:divBdr>
            </w:div>
            <w:div w:id="13608148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699586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19229943">
      <w:bodyDiv w:val="1"/>
      <w:marLeft w:val="0"/>
      <w:marRight w:val="0"/>
      <w:marTop w:val="0"/>
      <w:marBottom w:val="0"/>
      <w:divBdr>
        <w:top w:val="none" w:sz="0" w:space="0" w:color="auto"/>
        <w:left w:val="none" w:sz="0" w:space="0" w:color="auto"/>
        <w:bottom w:val="none" w:sz="0" w:space="0" w:color="auto"/>
        <w:right w:val="none" w:sz="0" w:space="0" w:color="auto"/>
      </w:divBdr>
    </w:div>
    <w:div w:id="2036996803">
      <w:bodyDiv w:val="1"/>
      <w:marLeft w:val="0"/>
      <w:marRight w:val="0"/>
      <w:marTop w:val="0"/>
      <w:marBottom w:val="0"/>
      <w:divBdr>
        <w:top w:val="none" w:sz="0" w:space="0" w:color="auto"/>
        <w:left w:val="none" w:sz="0" w:space="0" w:color="auto"/>
        <w:bottom w:val="none" w:sz="0" w:space="0" w:color="auto"/>
        <w:right w:val="none" w:sz="0" w:space="0" w:color="auto"/>
      </w:divBdr>
      <w:divsChild>
        <w:div w:id="191315189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2025-02-03T05:43:00Z</cp:lastPrinted>
  <dcterms:created xsi:type="dcterms:W3CDTF">2025-02-03T06:07:00Z</dcterms:created>
  <dcterms:modified xsi:type="dcterms:W3CDTF">2025-02-03T06:07:00Z</dcterms:modified>
</cp:coreProperties>
</file>