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AC8" w:rsidRPr="00404F7A" w:rsidRDefault="00162AC8" w:rsidP="00162AC8">
      <w:pPr>
        <w:ind w:right="-205"/>
        <w:jc w:val="center"/>
        <w:rPr>
          <w:rFonts w:ascii="Cambria" w:hAnsi="Cambria"/>
          <w:color w:val="000000" w:themeColor="text1"/>
          <w:sz w:val="23"/>
          <w:szCs w:val="23"/>
        </w:rPr>
      </w:pPr>
      <w:r w:rsidRPr="00BC0D6B">
        <w:rPr>
          <w:noProof/>
          <w:sz w:val="20"/>
          <w:szCs w:val="20"/>
          <w:lang w:val="en-US"/>
        </w:rPr>
        <w:drawing>
          <wp:inline distT="0" distB="0" distL="0" distR="0" wp14:anchorId="2C4ADAC7" wp14:editId="4EB7BFC9">
            <wp:extent cx="3235960" cy="1099476"/>
            <wp:effectExtent l="0" t="0" r="0" b="0"/>
            <wp:docPr id="7" name="Picture 1" descr="Shared Docs:Public:Sister Organisations:CLC Tas:CLCLogos:CLCTas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 Docs:Public:Sister Organisations:CLC Tas:CLCLogos:CLCTas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7972" cy="1100160"/>
                    </a:xfrm>
                    <a:prstGeom prst="rect">
                      <a:avLst/>
                    </a:prstGeom>
                    <a:noFill/>
                    <a:ln>
                      <a:noFill/>
                    </a:ln>
                  </pic:spPr>
                </pic:pic>
              </a:graphicData>
            </a:graphic>
          </wp:inline>
        </w:drawing>
      </w:r>
    </w:p>
    <w:p w:rsidR="00162AC8" w:rsidRPr="00FD5AD3" w:rsidRDefault="00162AC8" w:rsidP="00162AC8">
      <w:pPr>
        <w:ind w:right="-205"/>
        <w:jc w:val="both"/>
        <w:rPr>
          <w:rFonts w:ascii="Cambria" w:hAnsi="Cambria"/>
          <w:color w:val="000000" w:themeColor="text1"/>
          <w:sz w:val="23"/>
          <w:szCs w:val="23"/>
        </w:rPr>
      </w:pPr>
    </w:p>
    <w:p w:rsidR="00997426" w:rsidRDefault="00997426" w:rsidP="00162AC8">
      <w:pPr>
        <w:ind w:right="-205"/>
        <w:jc w:val="both"/>
        <w:rPr>
          <w:rFonts w:ascii="Cambria" w:hAnsi="Cambria"/>
          <w:color w:val="000000" w:themeColor="text1"/>
        </w:rPr>
      </w:pPr>
    </w:p>
    <w:p w:rsidR="00162AC8" w:rsidRPr="00E67123" w:rsidRDefault="00600A82" w:rsidP="00162AC8">
      <w:pPr>
        <w:ind w:right="-205"/>
        <w:jc w:val="both"/>
        <w:rPr>
          <w:rFonts w:ascii="Cambria" w:hAnsi="Cambria"/>
          <w:color w:val="000000" w:themeColor="text1"/>
        </w:rPr>
      </w:pPr>
      <w:r>
        <w:rPr>
          <w:rFonts w:ascii="Cambria" w:hAnsi="Cambria"/>
          <w:color w:val="000000" w:themeColor="text1"/>
        </w:rPr>
        <w:t>12</w:t>
      </w:r>
      <w:r w:rsidR="00721420" w:rsidRPr="00E67123">
        <w:rPr>
          <w:rFonts w:ascii="Cambria" w:hAnsi="Cambria"/>
          <w:color w:val="000000" w:themeColor="text1"/>
        </w:rPr>
        <w:t xml:space="preserve"> March 2025</w:t>
      </w:r>
    </w:p>
    <w:p w:rsidR="00162AC8" w:rsidRPr="00E67123" w:rsidRDefault="00162AC8" w:rsidP="00162AC8">
      <w:pPr>
        <w:ind w:right="-347"/>
        <w:rPr>
          <w:rFonts w:ascii="Cambria" w:hAnsi="Cambria"/>
          <w:color w:val="000000" w:themeColor="text1"/>
        </w:rPr>
      </w:pPr>
    </w:p>
    <w:p w:rsidR="00162AC8" w:rsidRPr="00E67123" w:rsidRDefault="00162AC8" w:rsidP="00162AC8">
      <w:pPr>
        <w:ind w:right="-347"/>
        <w:rPr>
          <w:rFonts w:ascii="Cambria" w:hAnsi="Cambria"/>
          <w:color w:val="000000" w:themeColor="text1"/>
          <w:shd w:val="clear" w:color="auto" w:fill="FFFFFF"/>
        </w:rPr>
      </w:pPr>
      <w:r w:rsidRPr="00E67123">
        <w:rPr>
          <w:rFonts w:ascii="Cambria" w:hAnsi="Cambria"/>
          <w:color w:val="000000" w:themeColor="text1"/>
          <w:shd w:val="clear" w:color="auto" w:fill="FFFFFF"/>
        </w:rPr>
        <w:t>Members of the House of Assembly</w:t>
      </w:r>
    </w:p>
    <w:p w:rsidR="00162AC8" w:rsidRPr="00E67123" w:rsidRDefault="00162AC8" w:rsidP="00162AC8">
      <w:pPr>
        <w:ind w:right="-347"/>
        <w:rPr>
          <w:rFonts w:ascii="Cambria" w:hAnsi="Cambria"/>
          <w:color w:val="000000" w:themeColor="text1"/>
          <w:shd w:val="clear" w:color="auto" w:fill="FFFFFF"/>
        </w:rPr>
      </w:pPr>
      <w:r w:rsidRPr="00E67123">
        <w:rPr>
          <w:rFonts w:ascii="Cambria" w:hAnsi="Cambria"/>
          <w:color w:val="000000" w:themeColor="text1"/>
          <w:shd w:val="clear" w:color="auto" w:fill="FFFFFF"/>
        </w:rPr>
        <w:t>Parliament House</w:t>
      </w:r>
    </w:p>
    <w:p w:rsidR="00162AC8" w:rsidRPr="00E67123" w:rsidRDefault="00162AC8" w:rsidP="00162AC8">
      <w:pPr>
        <w:ind w:right="-347"/>
        <w:rPr>
          <w:rFonts w:ascii="Cambria" w:hAnsi="Cambria"/>
          <w:color w:val="000000" w:themeColor="text1"/>
          <w:shd w:val="clear" w:color="auto" w:fill="FFFFFF"/>
        </w:rPr>
      </w:pPr>
      <w:r w:rsidRPr="00E67123">
        <w:rPr>
          <w:rFonts w:ascii="Cambria" w:hAnsi="Cambria"/>
          <w:color w:val="000000" w:themeColor="text1"/>
          <w:shd w:val="clear" w:color="auto" w:fill="FFFFFF"/>
        </w:rPr>
        <w:t>Hobart Tasmania 7000</w:t>
      </w:r>
    </w:p>
    <w:p w:rsidR="00162AC8" w:rsidRPr="00E67123" w:rsidRDefault="00162AC8" w:rsidP="00162AC8">
      <w:pPr>
        <w:ind w:right="-347"/>
        <w:rPr>
          <w:rFonts w:ascii="Cambria" w:hAnsi="Cambria"/>
          <w:color w:val="000000" w:themeColor="text1"/>
        </w:rPr>
      </w:pPr>
    </w:p>
    <w:p w:rsidR="00162AC8" w:rsidRPr="00E67123" w:rsidRDefault="00162AC8" w:rsidP="00162AC8">
      <w:pPr>
        <w:ind w:right="-347"/>
        <w:rPr>
          <w:rFonts w:ascii="Cambria" w:hAnsi="Cambria"/>
          <w:color w:val="000000" w:themeColor="text1"/>
          <w:shd w:val="clear" w:color="auto" w:fill="FFFFFF"/>
        </w:rPr>
      </w:pPr>
      <w:r w:rsidRPr="00E67123">
        <w:rPr>
          <w:rFonts w:ascii="Cambria" w:hAnsi="Cambria"/>
          <w:color w:val="000000" w:themeColor="text1"/>
        </w:rPr>
        <w:t>To all members of the House of Assembly  </w:t>
      </w:r>
    </w:p>
    <w:p w:rsidR="00162AC8" w:rsidRPr="00E67123" w:rsidRDefault="00162AC8" w:rsidP="00162AC8">
      <w:pPr>
        <w:pBdr>
          <w:bottom w:val="single" w:sz="6" w:space="1" w:color="auto"/>
        </w:pBdr>
        <w:jc w:val="both"/>
        <w:rPr>
          <w:rFonts w:ascii="Cambria" w:hAnsi="Cambria"/>
          <w:b/>
          <w:color w:val="000000" w:themeColor="text1"/>
        </w:rPr>
      </w:pPr>
      <w:r w:rsidRPr="00E67123">
        <w:rPr>
          <w:rFonts w:ascii="Cambria" w:hAnsi="Cambria"/>
          <w:b/>
          <w:color w:val="000000" w:themeColor="text1"/>
        </w:rPr>
        <w:t xml:space="preserve">Re: </w:t>
      </w:r>
      <w:r w:rsidRPr="00E67123">
        <w:rPr>
          <w:rFonts w:ascii="Cambria" w:hAnsi="Cambria"/>
          <w:b/>
          <w:bCs/>
          <w:i/>
          <w:iCs/>
          <w:color w:val="000000" w:themeColor="text1"/>
        </w:rPr>
        <w:t>Bail Bill 2024</w:t>
      </w:r>
    </w:p>
    <w:p w:rsidR="00162AC8" w:rsidRPr="00E67123" w:rsidRDefault="00162AC8" w:rsidP="00162AC8">
      <w:pPr>
        <w:pStyle w:val="NoSpacing"/>
        <w:jc w:val="both"/>
        <w:rPr>
          <w:rFonts w:ascii="Cambria" w:hAnsi="Cambria" w:cs="Calibri"/>
        </w:rPr>
      </w:pPr>
    </w:p>
    <w:p w:rsidR="00162AC8" w:rsidRPr="00E67123" w:rsidRDefault="00162AC8" w:rsidP="00162AC8">
      <w:pPr>
        <w:pStyle w:val="NoSpacing"/>
        <w:jc w:val="both"/>
        <w:rPr>
          <w:rFonts w:ascii="Cambria" w:hAnsi="Cambria"/>
          <w:color w:val="000000" w:themeColor="text1"/>
        </w:rPr>
      </w:pPr>
      <w:r w:rsidRPr="00E67123">
        <w:rPr>
          <w:rFonts w:ascii="Cambria" w:hAnsi="Cambria" w:cs="Calibri"/>
          <w:color w:val="000000" w:themeColor="text1"/>
        </w:rPr>
        <w:t>Community Legal Centres Tasmania (CLC Tas)</w:t>
      </w:r>
      <w:r w:rsidRPr="00E67123">
        <w:rPr>
          <w:rFonts w:ascii="Cambria" w:hAnsi="Cambria"/>
          <w:color w:val="000000" w:themeColor="text1"/>
        </w:rPr>
        <w:t xml:space="preserve"> welcomes the opportunity to provide comment on the consultation</w:t>
      </w:r>
      <w:r w:rsidRPr="00E67123">
        <w:rPr>
          <w:rFonts w:ascii="Cambria" w:hAnsi="Cambria"/>
          <w:i/>
          <w:iCs/>
          <w:color w:val="000000" w:themeColor="text1"/>
        </w:rPr>
        <w:t xml:space="preserve"> </w:t>
      </w:r>
      <w:r w:rsidRPr="00E67123">
        <w:rPr>
          <w:rFonts w:ascii="Cambria" w:hAnsi="Cambria"/>
          <w:color w:val="000000" w:themeColor="text1"/>
        </w:rPr>
        <w:t>on the</w:t>
      </w:r>
      <w:r w:rsidRPr="00E67123">
        <w:rPr>
          <w:rFonts w:ascii="Cambria" w:hAnsi="Cambria"/>
          <w:i/>
          <w:iCs/>
          <w:color w:val="000000" w:themeColor="text1"/>
        </w:rPr>
        <w:t xml:space="preserve"> Bail Bill 2024</w:t>
      </w:r>
      <w:r w:rsidRPr="00E67123">
        <w:rPr>
          <w:rFonts w:ascii="Cambria" w:hAnsi="Cambria"/>
          <w:iCs/>
          <w:color w:val="000000" w:themeColor="text1"/>
        </w:rPr>
        <w:t>.</w:t>
      </w:r>
      <w:r w:rsidRPr="00E67123">
        <w:rPr>
          <w:rStyle w:val="FootnoteReference"/>
          <w:rFonts w:ascii="Cambria" w:hAnsi="Cambria"/>
          <w:iCs/>
          <w:color w:val="000000" w:themeColor="text1"/>
        </w:rPr>
        <w:footnoteReference w:id="1"/>
      </w:r>
      <w:r w:rsidRPr="00E67123">
        <w:rPr>
          <w:rFonts w:ascii="Cambria" w:hAnsi="Cambria"/>
          <w:iCs/>
          <w:color w:val="000000" w:themeColor="text1"/>
        </w:rPr>
        <w:t xml:space="preserve"> We support the</w:t>
      </w:r>
      <w:r w:rsidRPr="00E67123">
        <w:rPr>
          <w:rFonts w:ascii="Cambria" w:hAnsi="Cambria"/>
          <w:color w:val="000000" w:themeColor="text1"/>
          <w:shd w:val="clear" w:color="auto" w:fill="FFFFFF"/>
        </w:rPr>
        <w:t xml:space="preserve"> Tasmanian Government’s aim to codify, consolidate and clarify existing bail laws</w:t>
      </w:r>
      <w:r w:rsidRPr="00E67123">
        <w:rPr>
          <w:rFonts w:ascii="Cambria" w:hAnsi="Cambria"/>
          <w:color w:val="000000" w:themeColor="text1"/>
        </w:rPr>
        <w:t xml:space="preserve">. However, we </w:t>
      </w:r>
      <w:r w:rsidR="00F72DF6">
        <w:rPr>
          <w:rFonts w:ascii="Cambria" w:hAnsi="Cambria"/>
          <w:color w:val="000000" w:themeColor="text1"/>
        </w:rPr>
        <w:t xml:space="preserve">are concerned that the proposed introduction of an unacceptable risk test will result in increased numbers of people being refused bail and </w:t>
      </w:r>
      <w:r w:rsidRPr="00E67123">
        <w:rPr>
          <w:rFonts w:ascii="Cambria" w:hAnsi="Cambria"/>
          <w:color w:val="000000" w:themeColor="text1"/>
        </w:rPr>
        <w:t xml:space="preserve">likely increase </w:t>
      </w:r>
      <w:r w:rsidR="00F72DF6">
        <w:rPr>
          <w:rFonts w:ascii="Cambria" w:hAnsi="Cambria"/>
          <w:color w:val="000000" w:themeColor="text1"/>
        </w:rPr>
        <w:t xml:space="preserve">pressures </w:t>
      </w:r>
      <w:r w:rsidRPr="00E67123">
        <w:rPr>
          <w:rFonts w:ascii="Cambria" w:hAnsi="Cambria"/>
          <w:color w:val="000000" w:themeColor="text1"/>
        </w:rPr>
        <w:t xml:space="preserve">on an already overstretched prison system. </w:t>
      </w:r>
    </w:p>
    <w:p w:rsidR="00162AC8" w:rsidRPr="00E67123" w:rsidRDefault="00162AC8" w:rsidP="00162AC8">
      <w:pPr>
        <w:pStyle w:val="NoSpacing"/>
        <w:jc w:val="both"/>
        <w:rPr>
          <w:rFonts w:ascii="Cambria" w:hAnsi="Cambria"/>
          <w:color w:val="000000" w:themeColor="text1"/>
        </w:rPr>
      </w:pPr>
    </w:p>
    <w:p w:rsidR="00162AC8" w:rsidRPr="00E67123" w:rsidRDefault="00162AC8" w:rsidP="00162AC8">
      <w:pPr>
        <w:pStyle w:val="NoSpacing"/>
        <w:jc w:val="both"/>
        <w:rPr>
          <w:rFonts w:ascii="Cambria" w:hAnsi="Cambria"/>
          <w:color w:val="000000" w:themeColor="text1"/>
        </w:rPr>
      </w:pPr>
      <w:r w:rsidRPr="00E67123">
        <w:rPr>
          <w:rFonts w:ascii="Cambria" w:hAnsi="Cambria" w:cs="Arial"/>
          <w:color w:val="000000" w:themeColor="text1"/>
        </w:rPr>
        <w:t xml:space="preserve">CLC Tas is the peak body representing the interests of nine community legal centres (CLCs) located throughout Tasmania. We are a member-based, independent, not-for-profit and incorporated organisation that advocates for law reform on a range of public interest matters aimed at improving access to justice, reducing discrimination and protecting and promoting human rights. </w:t>
      </w:r>
    </w:p>
    <w:p w:rsidR="00162AC8" w:rsidRPr="00E67123" w:rsidRDefault="00162AC8" w:rsidP="00162AC8">
      <w:pPr>
        <w:ind w:right="-347"/>
        <w:jc w:val="both"/>
        <w:rPr>
          <w:rFonts w:ascii="Cambria" w:hAnsi="Cambria" w:cs="Arial"/>
          <w:color w:val="000000" w:themeColor="text1"/>
        </w:rPr>
      </w:pPr>
    </w:p>
    <w:p w:rsidR="00162AC8" w:rsidRPr="00E67123" w:rsidRDefault="00162AC8" w:rsidP="00162AC8">
      <w:pPr>
        <w:pStyle w:val="NoSpacing"/>
        <w:numPr>
          <w:ilvl w:val="0"/>
          <w:numId w:val="3"/>
        </w:numPr>
        <w:jc w:val="both"/>
        <w:rPr>
          <w:rFonts w:ascii="Cambria" w:hAnsi="Cambria" w:cs="Calibri"/>
          <w:b/>
          <w:bCs/>
          <w:i/>
          <w:iCs/>
        </w:rPr>
      </w:pPr>
      <w:r w:rsidRPr="00E67123">
        <w:rPr>
          <w:rFonts w:ascii="Cambria" w:hAnsi="Cambria" w:cs="Calibri"/>
          <w:b/>
          <w:bCs/>
          <w:i/>
          <w:iCs/>
        </w:rPr>
        <w:t xml:space="preserve">Simplifying and clarifying </w:t>
      </w:r>
      <w:r w:rsidR="003B6233" w:rsidRPr="00E67123">
        <w:rPr>
          <w:rFonts w:ascii="Cambria" w:hAnsi="Cambria" w:cs="Calibri"/>
          <w:b/>
          <w:bCs/>
          <w:i/>
          <w:iCs/>
        </w:rPr>
        <w:t>b</w:t>
      </w:r>
      <w:r w:rsidRPr="00E67123">
        <w:rPr>
          <w:rFonts w:ascii="Cambria" w:hAnsi="Cambria" w:cs="Calibri"/>
          <w:b/>
          <w:bCs/>
          <w:i/>
          <w:iCs/>
        </w:rPr>
        <w:t>ail law</w:t>
      </w:r>
    </w:p>
    <w:p w:rsidR="003B6233" w:rsidRPr="00E67123" w:rsidRDefault="00162AC8" w:rsidP="00162AC8">
      <w:pPr>
        <w:pStyle w:val="NoSpacing"/>
        <w:jc w:val="both"/>
        <w:rPr>
          <w:rFonts w:ascii="Cambria" w:hAnsi="Cambria" w:cs="Calibri"/>
        </w:rPr>
      </w:pPr>
      <w:r w:rsidRPr="00E67123">
        <w:rPr>
          <w:rFonts w:ascii="Cambria" w:hAnsi="Cambria" w:cs="Calibri"/>
        </w:rPr>
        <w:t xml:space="preserve">The failure of our legislators to clearly articulate the purpose and objectives of bail contributes to the lack of understanding and uncertainty in the wider community. This confusion is compounded by the competing considerations that the judiciary must weigh up in their decision to grant bail. We therefore strongly support the adoption </w:t>
      </w:r>
      <w:r w:rsidR="00E67123" w:rsidRPr="00E67123">
        <w:rPr>
          <w:rFonts w:ascii="Cambria" w:hAnsi="Cambria" w:cs="Calibri"/>
        </w:rPr>
        <w:t xml:space="preserve">of a clear statement </w:t>
      </w:r>
      <w:r w:rsidRPr="00E67123">
        <w:rPr>
          <w:rFonts w:ascii="Cambria" w:hAnsi="Cambria" w:cs="Calibri"/>
        </w:rPr>
        <w:t>that sets out the purpose and objectives of bail as well as articulating the principles that underpin the grant of bail.</w:t>
      </w:r>
      <w:r w:rsidR="00E67123" w:rsidRPr="00E67123">
        <w:rPr>
          <w:rStyle w:val="FootnoteReference"/>
          <w:rFonts w:ascii="Cambria" w:hAnsi="Cambria" w:cs="Calibri"/>
        </w:rPr>
        <w:footnoteReference w:id="2"/>
      </w:r>
      <w:r w:rsidRPr="00E67123">
        <w:rPr>
          <w:rFonts w:ascii="Cambria" w:hAnsi="Cambria" w:cs="Calibri"/>
        </w:rPr>
        <w:t xml:space="preserve"> </w:t>
      </w:r>
      <w:r w:rsidR="00E67123" w:rsidRPr="00E67123">
        <w:rPr>
          <w:rFonts w:ascii="Cambria" w:hAnsi="Cambria" w:cs="Calibri"/>
        </w:rPr>
        <w:t xml:space="preserve">Importantly, the Bill </w:t>
      </w:r>
      <w:r w:rsidR="003B6233" w:rsidRPr="00E67123">
        <w:rPr>
          <w:rFonts w:ascii="Cambria" w:hAnsi="Cambria" w:cs="Calibri"/>
        </w:rPr>
        <w:t>articulate</w:t>
      </w:r>
      <w:r w:rsidR="007E582F">
        <w:rPr>
          <w:rFonts w:ascii="Cambria" w:hAnsi="Cambria" w:cs="Calibri"/>
        </w:rPr>
        <w:t>s</w:t>
      </w:r>
      <w:r w:rsidR="003B6233" w:rsidRPr="00E67123">
        <w:rPr>
          <w:rFonts w:ascii="Cambria" w:hAnsi="Cambria" w:cs="Calibri"/>
        </w:rPr>
        <w:t xml:space="preserve"> the presumption of innocence and the </w:t>
      </w:r>
      <w:r w:rsidR="003B6233" w:rsidRPr="00E67123">
        <w:rPr>
          <w:rFonts w:ascii="Cambria" w:hAnsi="Cambria" w:cs="Calibri"/>
          <w:i/>
          <w:iCs/>
        </w:rPr>
        <w:t>prima facie</w:t>
      </w:r>
      <w:r w:rsidR="003B6233" w:rsidRPr="00E67123">
        <w:rPr>
          <w:rFonts w:ascii="Cambria" w:hAnsi="Cambria" w:cs="Calibri"/>
        </w:rPr>
        <w:t xml:space="preserve"> right to liberty, limited only to the extent necessary by the administration of justice and the protection of the community. </w:t>
      </w:r>
    </w:p>
    <w:p w:rsidR="005E129E" w:rsidRPr="00E67123" w:rsidRDefault="005E129E" w:rsidP="00162AC8">
      <w:pPr>
        <w:pStyle w:val="NoSpacing"/>
        <w:jc w:val="both"/>
        <w:rPr>
          <w:rFonts w:ascii="Cambria" w:hAnsi="Cambria" w:cs="Calibri"/>
        </w:rPr>
      </w:pPr>
    </w:p>
    <w:p w:rsidR="005E129E" w:rsidRPr="00E67123" w:rsidRDefault="005E129E" w:rsidP="005E129E">
      <w:pPr>
        <w:pStyle w:val="NoSpacing"/>
        <w:numPr>
          <w:ilvl w:val="0"/>
          <w:numId w:val="3"/>
        </w:numPr>
        <w:jc w:val="both"/>
        <w:rPr>
          <w:rFonts w:ascii="Cambria" w:hAnsi="Cambria" w:cs="Calibri"/>
          <w:b/>
          <w:bCs/>
          <w:i/>
          <w:iCs/>
        </w:rPr>
      </w:pPr>
      <w:r w:rsidRPr="00E67123">
        <w:rPr>
          <w:rFonts w:ascii="Cambria" w:hAnsi="Cambria" w:cs="Calibri"/>
          <w:b/>
          <w:bCs/>
          <w:i/>
          <w:iCs/>
        </w:rPr>
        <w:t>Unacceptable risk</w:t>
      </w:r>
    </w:p>
    <w:p w:rsidR="00600A82" w:rsidRDefault="005E129E" w:rsidP="005E129E">
      <w:pPr>
        <w:pStyle w:val="NoSpacing"/>
        <w:jc w:val="both"/>
        <w:rPr>
          <w:rFonts w:ascii="Cambria" w:hAnsi="Cambria" w:cs="Calibri"/>
        </w:rPr>
      </w:pPr>
      <w:r w:rsidRPr="00E67123">
        <w:rPr>
          <w:rFonts w:ascii="Cambria" w:hAnsi="Cambria" w:cs="Calibri"/>
        </w:rPr>
        <w:t>It is a long</w:t>
      </w:r>
      <w:r w:rsidR="00E656AC" w:rsidRPr="00E67123">
        <w:rPr>
          <w:rFonts w:ascii="Cambria" w:hAnsi="Cambria" w:cs="Calibri"/>
        </w:rPr>
        <w:t>-</w:t>
      </w:r>
      <w:r w:rsidRPr="00E67123">
        <w:rPr>
          <w:rFonts w:ascii="Cambria" w:hAnsi="Cambria" w:cs="Calibri"/>
        </w:rPr>
        <w:t>established principle of both Australian and international law that a person is innocent until proven guilty</w:t>
      </w:r>
      <w:r w:rsidRPr="00E67123">
        <w:rPr>
          <w:rStyle w:val="FootnoteReference"/>
          <w:rFonts w:ascii="Cambria" w:hAnsi="Cambria" w:cs="Calibri"/>
        </w:rPr>
        <w:footnoteReference w:id="3"/>
      </w:r>
      <w:r w:rsidRPr="00E67123">
        <w:rPr>
          <w:rFonts w:ascii="Cambria" w:hAnsi="Cambria" w:cs="Calibri"/>
        </w:rPr>
        <w:t xml:space="preserve"> and that a person should only be deprived of their liberty where there are appropriate grounds for doing so. In Tasmania, the seminal case in </w:t>
      </w:r>
      <w:r w:rsidRPr="00AB273D">
        <w:rPr>
          <w:rFonts w:ascii="Cambria" w:hAnsi="Cambria" w:cs="Calibri"/>
          <w:i/>
          <w:iCs/>
        </w:rPr>
        <w:t xml:space="preserve">R v </w:t>
      </w:r>
      <w:r w:rsidRPr="00AB273D">
        <w:rPr>
          <w:rFonts w:ascii="Cambria" w:hAnsi="Cambria" w:cs="Calibri"/>
          <w:i/>
          <w:iCs/>
        </w:rPr>
        <w:lastRenderedPageBreak/>
        <w:t>Fisher</w:t>
      </w:r>
      <w:r w:rsidRPr="00E67123">
        <w:rPr>
          <w:rStyle w:val="FootnoteReference"/>
          <w:rFonts w:ascii="Cambria" w:hAnsi="Cambria" w:cs="Calibri"/>
        </w:rPr>
        <w:footnoteReference w:id="4"/>
      </w:r>
      <w:r w:rsidRPr="00E67123">
        <w:rPr>
          <w:rFonts w:ascii="Cambria" w:hAnsi="Cambria" w:cs="Calibri"/>
        </w:rPr>
        <w:t xml:space="preserve"> in which Crawford J affirm</w:t>
      </w:r>
      <w:r w:rsidR="00AB273D">
        <w:rPr>
          <w:rFonts w:ascii="Cambria" w:hAnsi="Cambria" w:cs="Calibri"/>
        </w:rPr>
        <w:t>ed</w:t>
      </w:r>
      <w:r w:rsidRPr="00E67123">
        <w:rPr>
          <w:rFonts w:ascii="Cambria" w:hAnsi="Cambria" w:cs="Calibri"/>
        </w:rPr>
        <w:t xml:space="preserve"> the fundamental presumption “… that </w:t>
      </w:r>
      <w:r w:rsidRPr="00E67123">
        <w:rPr>
          <w:rFonts w:ascii="Cambria" w:hAnsi="Cambria" w:cs="Calibri"/>
          <w:i/>
          <w:iCs/>
        </w:rPr>
        <w:t>prima facie</w:t>
      </w:r>
      <w:r w:rsidRPr="00E67123">
        <w:rPr>
          <w:rFonts w:ascii="Cambria" w:hAnsi="Cambria" w:cs="Calibri"/>
        </w:rPr>
        <w:t xml:space="preserve"> every accused is entitled to his freedom until he stands trial”</w:t>
      </w:r>
      <w:r w:rsidRPr="00E67123">
        <w:rPr>
          <w:rStyle w:val="FootnoteReference"/>
          <w:rFonts w:ascii="Cambria" w:hAnsi="Cambria" w:cs="Calibri"/>
        </w:rPr>
        <w:footnoteReference w:id="5"/>
      </w:r>
      <w:r w:rsidRPr="00E67123">
        <w:rPr>
          <w:rFonts w:ascii="Cambria" w:hAnsi="Cambria" w:cs="Calibri"/>
        </w:rPr>
        <w:t xml:space="preserve"> except in cases where an accused is charged with murder. Crawford J then sets out a non-exhaustive list of factors that should be considered in determining the grant of bail.</w:t>
      </w:r>
      <w:r w:rsidRPr="00E67123">
        <w:rPr>
          <w:rStyle w:val="FootnoteReference"/>
          <w:rFonts w:ascii="Cambria" w:hAnsi="Cambria" w:cs="Calibri"/>
        </w:rPr>
        <w:footnoteReference w:id="6"/>
      </w:r>
      <w:r w:rsidRPr="00E67123">
        <w:rPr>
          <w:rFonts w:ascii="Cambria" w:hAnsi="Cambria" w:cs="Calibri"/>
        </w:rPr>
        <w:t xml:space="preserve"> </w:t>
      </w:r>
    </w:p>
    <w:p w:rsidR="00600A82" w:rsidRDefault="00600A82" w:rsidP="005E129E">
      <w:pPr>
        <w:pStyle w:val="NoSpacing"/>
        <w:jc w:val="both"/>
        <w:rPr>
          <w:rFonts w:ascii="Cambria" w:hAnsi="Cambria" w:cs="Calibri"/>
        </w:rPr>
      </w:pPr>
    </w:p>
    <w:p w:rsidR="005E129E" w:rsidRPr="00E67123" w:rsidRDefault="005E129E" w:rsidP="005E129E">
      <w:pPr>
        <w:pStyle w:val="NoSpacing"/>
        <w:jc w:val="both"/>
        <w:rPr>
          <w:rFonts w:ascii="Cambria" w:hAnsi="Cambria" w:cs="Calibri"/>
        </w:rPr>
      </w:pPr>
      <w:r w:rsidRPr="00E67123">
        <w:rPr>
          <w:rFonts w:ascii="Cambria" w:hAnsi="Cambria" w:cs="Calibri"/>
        </w:rPr>
        <w:t>More recently, Victoria, New South Wales and Queensland have sought to emphasise the safety and welfare of the community by introducing an ‘unacceptable risk’ test. The test requires a court to refuse a bail application if satisfied that there is an unacceptable risk that the accused if released on bail would:</w:t>
      </w:r>
    </w:p>
    <w:p w:rsidR="005E129E" w:rsidRPr="00E67123" w:rsidRDefault="005E129E" w:rsidP="005E129E">
      <w:pPr>
        <w:pStyle w:val="NoSpacing"/>
        <w:jc w:val="both"/>
        <w:rPr>
          <w:rFonts w:ascii="Cambria" w:hAnsi="Cambria" w:cs="Calibri"/>
        </w:rPr>
      </w:pPr>
    </w:p>
    <w:p w:rsidR="005E129E" w:rsidRPr="00E67123" w:rsidRDefault="005E129E" w:rsidP="005E129E">
      <w:pPr>
        <w:pStyle w:val="NoSpacing"/>
        <w:numPr>
          <w:ilvl w:val="0"/>
          <w:numId w:val="4"/>
        </w:numPr>
        <w:jc w:val="both"/>
        <w:rPr>
          <w:rFonts w:ascii="Cambria" w:hAnsi="Cambria" w:cs="Calibri"/>
        </w:rPr>
      </w:pPr>
      <w:r w:rsidRPr="00E67123">
        <w:rPr>
          <w:rFonts w:ascii="Cambria" w:hAnsi="Cambria" w:cs="Calibri"/>
        </w:rPr>
        <w:t>Fail to surrender himself or herself into custody in answer to his bail;</w:t>
      </w:r>
    </w:p>
    <w:p w:rsidR="005E129E" w:rsidRPr="00E67123" w:rsidRDefault="005E129E" w:rsidP="005E129E">
      <w:pPr>
        <w:pStyle w:val="NoSpacing"/>
        <w:numPr>
          <w:ilvl w:val="0"/>
          <w:numId w:val="4"/>
        </w:numPr>
        <w:jc w:val="both"/>
        <w:rPr>
          <w:rFonts w:ascii="Cambria" w:hAnsi="Cambria" w:cs="Calibri"/>
        </w:rPr>
      </w:pPr>
      <w:r w:rsidRPr="00E67123">
        <w:rPr>
          <w:rFonts w:ascii="Cambria" w:hAnsi="Cambria" w:cs="Calibri"/>
        </w:rPr>
        <w:t xml:space="preserve">Commit an offence whilst on bail; </w:t>
      </w:r>
    </w:p>
    <w:p w:rsidR="005E129E" w:rsidRPr="00E67123" w:rsidRDefault="005E129E" w:rsidP="005E129E">
      <w:pPr>
        <w:pStyle w:val="NoSpacing"/>
        <w:numPr>
          <w:ilvl w:val="0"/>
          <w:numId w:val="4"/>
        </w:numPr>
        <w:jc w:val="both"/>
        <w:rPr>
          <w:rFonts w:ascii="Cambria" w:hAnsi="Cambria" w:cs="Calibri"/>
        </w:rPr>
      </w:pPr>
      <w:r w:rsidRPr="00E67123">
        <w:rPr>
          <w:rFonts w:ascii="Cambria" w:hAnsi="Cambria" w:cs="Calibri"/>
        </w:rPr>
        <w:t>Endanger the safety or welfare of members of the public; or</w:t>
      </w:r>
    </w:p>
    <w:p w:rsidR="005E129E" w:rsidRPr="00E67123" w:rsidRDefault="005E129E" w:rsidP="005E129E">
      <w:pPr>
        <w:pStyle w:val="NoSpacing"/>
        <w:numPr>
          <w:ilvl w:val="0"/>
          <w:numId w:val="4"/>
        </w:numPr>
        <w:jc w:val="both"/>
        <w:rPr>
          <w:rFonts w:ascii="Cambria" w:hAnsi="Cambria" w:cs="Calibri"/>
        </w:rPr>
      </w:pPr>
      <w:r w:rsidRPr="00E67123">
        <w:rPr>
          <w:rFonts w:ascii="Cambria" w:hAnsi="Cambria" w:cs="Calibri"/>
        </w:rPr>
        <w:t xml:space="preserve">Interfere with witnesses or otherwise obstruct the course of justice whether in relation to himself or herself or any other person. </w:t>
      </w:r>
    </w:p>
    <w:p w:rsidR="003B6233" w:rsidRPr="00E67123" w:rsidRDefault="003B6233" w:rsidP="00162AC8">
      <w:pPr>
        <w:pStyle w:val="NoSpacing"/>
        <w:jc w:val="both"/>
        <w:rPr>
          <w:rFonts w:ascii="Cambria" w:hAnsi="Cambria" w:cs="Calibri"/>
        </w:rPr>
      </w:pPr>
    </w:p>
    <w:p w:rsidR="006A56F5" w:rsidRDefault="005E129E" w:rsidP="006A56F5">
      <w:pPr>
        <w:pStyle w:val="NoSpacing"/>
        <w:jc w:val="both"/>
        <w:rPr>
          <w:rFonts w:ascii="Cambria" w:hAnsi="Cambria"/>
          <w:color w:val="000000" w:themeColor="text1"/>
        </w:rPr>
      </w:pPr>
      <w:r w:rsidRPr="00600A82">
        <w:rPr>
          <w:rFonts w:ascii="Cambria" w:hAnsi="Cambria" w:cs="Calibri"/>
          <w:color w:val="000000" w:themeColor="text1"/>
        </w:rPr>
        <w:t xml:space="preserve">Whilst all of these factors are broadly recognised </w:t>
      </w:r>
      <w:r w:rsidR="00600A82" w:rsidRPr="00600A82">
        <w:rPr>
          <w:rFonts w:ascii="Cambria" w:hAnsi="Cambria" w:cs="Calibri"/>
          <w:color w:val="000000" w:themeColor="text1"/>
        </w:rPr>
        <w:t>in</w:t>
      </w:r>
      <w:r w:rsidRPr="00600A82">
        <w:rPr>
          <w:rFonts w:ascii="Cambria" w:hAnsi="Cambria" w:cs="Calibri"/>
          <w:color w:val="000000" w:themeColor="text1"/>
        </w:rPr>
        <w:t xml:space="preserve"> the Tasmanian decision of </w:t>
      </w:r>
      <w:r w:rsidRPr="00600A82">
        <w:rPr>
          <w:rFonts w:ascii="Cambria" w:hAnsi="Cambria" w:cs="Calibri"/>
          <w:i/>
          <w:iCs/>
          <w:color w:val="000000" w:themeColor="text1"/>
        </w:rPr>
        <w:t>R v Fisher</w:t>
      </w:r>
      <w:r w:rsidRPr="00600A82">
        <w:rPr>
          <w:rFonts w:ascii="Cambria" w:hAnsi="Cambria" w:cs="Calibri"/>
          <w:color w:val="000000" w:themeColor="text1"/>
        </w:rPr>
        <w:t>, it is acknowledged that as the law currently stands, the primary consideration is whether the accused will answer bail.</w:t>
      </w:r>
      <w:r w:rsidR="00C12293">
        <w:rPr>
          <w:rFonts w:ascii="Cambria" w:hAnsi="Cambria" w:cs="Calibri"/>
          <w:color w:val="000000" w:themeColor="text1"/>
        </w:rPr>
        <w:t xml:space="preserve"> The Bill’s elevation of </w:t>
      </w:r>
      <w:r w:rsidRPr="00600A82">
        <w:rPr>
          <w:rFonts w:ascii="Cambria" w:hAnsi="Cambria" w:cs="Calibri"/>
          <w:color w:val="000000" w:themeColor="text1"/>
        </w:rPr>
        <w:t>the public interest above other factors</w:t>
      </w:r>
      <w:r w:rsidR="006A56F5">
        <w:rPr>
          <w:rFonts w:ascii="Cambria" w:hAnsi="Cambria" w:cs="Calibri"/>
          <w:color w:val="000000" w:themeColor="text1"/>
        </w:rPr>
        <w:t xml:space="preserve"> </w:t>
      </w:r>
      <w:r w:rsidR="00C12293">
        <w:rPr>
          <w:rFonts w:ascii="Cambria" w:hAnsi="Cambria" w:cs="Calibri"/>
          <w:color w:val="000000" w:themeColor="text1"/>
        </w:rPr>
        <w:t xml:space="preserve">is likely to </w:t>
      </w:r>
      <w:r w:rsidR="00C12293">
        <w:rPr>
          <w:rFonts w:ascii="Cambria" w:hAnsi="Cambria"/>
          <w:color w:val="000000" w:themeColor="text1"/>
        </w:rPr>
        <w:t>result in increased numbers of people being refused bail and</w:t>
      </w:r>
      <w:r w:rsidR="00C12293" w:rsidRPr="00E67123">
        <w:rPr>
          <w:rFonts w:ascii="Cambria" w:hAnsi="Cambria"/>
          <w:color w:val="000000" w:themeColor="text1"/>
        </w:rPr>
        <w:t xml:space="preserve"> increase </w:t>
      </w:r>
      <w:r w:rsidR="00C12293">
        <w:rPr>
          <w:rFonts w:ascii="Cambria" w:hAnsi="Cambria"/>
          <w:color w:val="000000" w:themeColor="text1"/>
        </w:rPr>
        <w:t xml:space="preserve">pressures </w:t>
      </w:r>
      <w:r w:rsidR="00C12293" w:rsidRPr="00E67123">
        <w:rPr>
          <w:rFonts w:ascii="Cambria" w:hAnsi="Cambria"/>
          <w:color w:val="000000" w:themeColor="text1"/>
        </w:rPr>
        <w:t>on an already overstretched prison system.</w:t>
      </w:r>
    </w:p>
    <w:p w:rsidR="006A56F5" w:rsidRDefault="006A56F5" w:rsidP="006A56F5">
      <w:pPr>
        <w:pStyle w:val="NoSpacing"/>
        <w:jc w:val="both"/>
        <w:rPr>
          <w:rFonts w:ascii="Cambria" w:hAnsi="Cambria"/>
          <w:color w:val="000000" w:themeColor="text1"/>
        </w:rPr>
      </w:pPr>
    </w:p>
    <w:p w:rsidR="006A56F5" w:rsidRPr="006A56F5" w:rsidRDefault="006A56F5" w:rsidP="006A56F5">
      <w:pPr>
        <w:pStyle w:val="NoSpacing"/>
        <w:jc w:val="both"/>
        <w:rPr>
          <w:rFonts w:ascii="Cambria" w:hAnsi="Cambria"/>
          <w:color w:val="000000" w:themeColor="text1"/>
        </w:rPr>
      </w:pPr>
      <w:r w:rsidRPr="00E67123">
        <w:rPr>
          <w:rFonts w:ascii="Cambria" w:hAnsi="Cambria" w:cs="Calibri"/>
        </w:rPr>
        <w:t>In a 2002 Tasmania Law Reform Institute report it was observed that the proportion of prisoners on remand in Tasmania’ had increased over the previous decade from 12.3 per cent to 20.8 per cent.</w:t>
      </w:r>
      <w:r w:rsidRPr="00E67123">
        <w:rPr>
          <w:rStyle w:val="FootnoteReference"/>
          <w:rFonts w:ascii="Cambria" w:hAnsi="Cambria" w:cs="Calibri"/>
        </w:rPr>
        <w:footnoteReference w:id="7"/>
      </w:r>
      <w:r w:rsidRPr="00E67123">
        <w:rPr>
          <w:rFonts w:ascii="Cambria" w:hAnsi="Cambria" w:cs="Calibri"/>
        </w:rPr>
        <w:t xml:space="preserve"> </w:t>
      </w:r>
      <w:r>
        <w:rPr>
          <w:rFonts w:ascii="Cambria" w:hAnsi="Cambria" w:cs="Calibri"/>
        </w:rPr>
        <w:t xml:space="preserve">The most recent data is even more dire for people on remand, with </w:t>
      </w:r>
      <w:r w:rsidRPr="00E67123">
        <w:rPr>
          <w:rFonts w:ascii="Cambria" w:hAnsi="Cambria"/>
          <w:bCs/>
          <w:color w:val="000000" w:themeColor="text1"/>
          <w:lang w:eastAsia="en-AU"/>
        </w:rPr>
        <w:t>the Australian Bureau of Statistics</w:t>
      </w:r>
      <w:r>
        <w:rPr>
          <w:rFonts w:ascii="Cambria" w:hAnsi="Cambria"/>
          <w:bCs/>
          <w:color w:val="000000" w:themeColor="text1"/>
          <w:lang w:eastAsia="en-AU"/>
        </w:rPr>
        <w:t xml:space="preserve"> reporting that </w:t>
      </w:r>
      <w:r w:rsidRPr="00E67123">
        <w:rPr>
          <w:rFonts w:ascii="Cambria" w:hAnsi="Cambria"/>
          <w:bCs/>
          <w:color w:val="000000" w:themeColor="text1"/>
          <w:lang w:eastAsia="en-AU"/>
        </w:rPr>
        <w:t xml:space="preserve">the number of </w:t>
      </w:r>
      <w:r>
        <w:rPr>
          <w:rFonts w:ascii="Cambria" w:hAnsi="Cambria"/>
          <w:bCs/>
          <w:color w:val="000000" w:themeColor="text1"/>
          <w:lang w:eastAsia="en-AU"/>
        </w:rPr>
        <w:t>Tasmanians</w:t>
      </w:r>
      <w:r w:rsidRPr="00E67123">
        <w:rPr>
          <w:rFonts w:ascii="Cambria" w:hAnsi="Cambria"/>
          <w:bCs/>
          <w:color w:val="000000" w:themeColor="text1"/>
          <w:lang w:eastAsia="en-AU"/>
        </w:rPr>
        <w:t xml:space="preserve"> in custody who have not yet been sentenced has grown significantly, from </w:t>
      </w:r>
      <w:r>
        <w:rPr>
          <w:rFonts w:ascii="Cambria" w:hAnsi="Cambria"/>
          <w:bCs/>
          <w:color w:val="000000" w:themeColor="text1"/>
          <w:lang w:eastAsia="en-AU"/>
        </w:rPr>
        <w:t>28</w:t>
      </w:r>
      <w:r w:rsidRPr="00E67123">
        <w:rPr>
          <w:rFonts w:ascii="Cambria" w:hAnsi="Cambria"/>
          <w:bCs/>
          <w:color w:val="000000" w:themeColor="text1"/>
          <w:lang w:eastAsia="en-AU"/>
        </w:rPr>
        <w:t xml:space="preserve"> per cent </w:t>
      </w:r>
      <w:r>
        <w:rPr>
          <w:rFonts w:ascii="Cambria" w:hAnsi="Cambria"/>
          <w:bCs/>
          <w:color w:val="000000" w:themeColor="text1"/>
          <w:lang w:eastAsia="en-AU"/>
        </w:rPr>
        <w:t>a decade ago</w:t>
      </w:r>
      <w:r w:rsidRPr="00E67123">
        <w:rPr>
          <w:rFonts w:ascii="Cambria" w:hAnsi="Cambria"/>
          <w:bCs/>
          <w:color w:val="000000" w:themeColor="text1"/>
          <w:lang w:eastAsia="en-AU"/>
        </w:rPr>
        <w:t xml:space="preserve"> to</w:t>
      </w:r>
      <w:r>
        <w:rPr>
          <w:rFonts w:ascii="Cambria" w:hAnsi="Cambria"/>
          <w:bCs/>
          <w:color w:val="000000" w:themeColor="text1"/>
          <w:lang w:eastAsia="en-AU"/>
        </w:rPr>
        <w:t xml:space="preserve"> 41</w:t>
      </w:r>
      <w:r w:rsidRPr="00E67123">
        <w:rPr>
          <w:rFonts w:ascii="Cambria" w:hAnsi="Cambria"/>
          <w:bCs/>
          <w:color w:val="000000" w:themeColor="text1"/>
          <w:lang w:eastAsia="en-AU"/>
        </w:rPr>
        <w:t xml:space="preserve"> per cent in 202</w:t>
      </w:r>
      <w:r>
        <w:rPr>
          <w:rFonts w:ascii="Cambria" w:hAnsi="Cambria"/>
          <w:bCs/>
          <w:color w:val="000000" w:themeColor="text1"/>
          <w:lang w:eastAsia="en-AU"/>
        </w:rPr>
        <w:t>4</w:t>
      </w:r>
      <w:r w:rsidRPr="00E67123">
        <w:rPr>
          <w:rFonts w:ascii="Cambria" w:hAnsi="Cambria"/>
          <w:bCs/>
          <w:color w:val="000000" w:themeColor="text1"/>
          <w:lang w:eastAsia="en-AU"/>
        </w:rPr>
        <w:t xml:space="preserve">. Expressed in another way, </w:t>
      </w:r>
      <w:r>
        <w:rPr>
          <w:rFonts w:ascii="Cambria" w:hAnsi="Cambria"/>
          <w:bCs/>
          <w:color w:val="000000" w:themeColor="text1"/>
          <w:lang w:eastAsia="en-AU"/>
        </w:rPr>
        <w:t>4 out of 10 people housed in prison</w:t>
      </w:r>
      <w:r w:rsidRPr="00E67123">
        <w:rPr>
          <w:rFonts w:ascii="Cambria" w:hAnsi="Cambria"/>
          <w:bCs/>
          <w:color w:val="000000" w:themeColor="text1"/>
          <w:lang w:eastAsia="en-AU"/>
        </w:rPr>
        <w:t xml:space="preserve"> </w:t>
      </w:r>
      <w:r>
        <w:rPr>
          <w:rFonts w:ascii="Cambria" w:hAnsi="Cambria"/>
          <w:bCs/>
          <w:color w:val="000000" w:themeColor="text1"/>
          <w:lang w:eastAsia="en-AU"/>
        </w:rPr>
        <w:t>in 2024 were</w:t>
      </w:r>
      <w:r w:rsidRPr="00E67123">
        <w:rPr>
          <w:rFonts w:ascii="Cambria" w:hAnsi="Cambria"/>
          <w:bCs/>
          <w:color w:val="000000" w:themeColor="text1"/>
          <w:lang w:eastAsia="en-AU"/>
        </w:rPr>
        <w:t xml:space="preserve"> awaiting trial or sentence. </w:t>
      </w:r>
    </w:p>
    <w:p w:rsidR="006A56F5" w:rsidRPr="009B5582" w:rsidRDefault="006A56F5" w:rsidP="006A56F5">
      <w:pPr>
        <w:ind w:right="-52"/>
        <w:jc w:val="both"/>
        <w:rPr>
          <w:rFonts w:ascii="Cambria" w:hAnsi="Cambria"/>
          <w:color w:val="000000" w:themeColor="text1"/>
          <w:bdr w:val="none" w:sz="0" w:space="0" w:color="auto" w:frame="1"/>
          <w:shd w:val="clear" w:color="auto" w:fill="FFFFFF"/>
        </w:rPr>
      </w:pPr>
      <w:r>
        <w:rPr>
          <w:rFonts w:ascii="Cambria" w:hAnsi="Cambria"/>
          <w:noProof/>
          <w:color w:val="000000" w:themeColor="text1"/>
          <w:bdr w:val="none" w:sz="0" w:space="0" w:color="auto" w:frame="1"/>
          <w:shd w:val="clear" w:color="auto" w:fill="FFFFFF"/>
          <w14:ligatures w14:val="standardContextual"/>
        </w:rPr>
        <w:lastRenderedPageBreak/>
        <w:drawing>
          <wp:inline distT="0" distB="0" distL="0" distR="0" wp14:anchorId="75763A9C" wp14:editId="53B373D9">
            <wp:extent cx="5486400" cy="3200400"/>
            <wp:effectExtent l="0" t="0" r="12700" b="12700"/>
            <wp:docPr id="12973380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A56F5" w:rsidRPr="0092780B" w:rsidRDefault="006A56F5" w:rsidP="006A56F5">
      <w:pPr>
        <w:ind w:right="-347"/>
        <w:jc w:val="both"/>
        <w:rPr>
          <w:rFonts w:ascii="Cambria" w:hAnsi="Cambria"/>
          <w:bCs/>
          <w:color w:val="000000" w:themeColor="text1"/>
          <w:sz w:val="20"/>
          <w:szCs w:val="20"/>
          <w:lang w:eastAsia="en-AU"/>
        </w:rPr>
      </w:pPr>
      <w:r w:rsidRPr="0092780B">
        <w:rPr>
          <w:rFonts w:ascii="Cambria" w:hAnsi="Cambria"/>
          <w:bCs/>
          <w:color w:val="000000" w:themeColor="text1"/>
          <w:sz w:val="20"/>
          <w:szCs w:val="20"/>
          <w:lang w:eastAsia="en-AU"/>
        </w:rPr>
        <w:t xml:space="preserve">Source: </w:t>
      </w:r>
      <w:r w:rsidRPr="0092780B">
        <w:rPr>
          <w:rFonts w:ascii="Cambria" w:hAnsi="Cambria"/>
          <w:sz w:val="20"/>
          <w:szCs w:val="20"/>
        </w:rPr>
        <w:t xml:space="preserve">Australian Bureau of Statistics, </w:t>
      </w:r>
      <w:r w:rsidRPr="0092780B">
        <w:rPr>
          <w:rFonts w:ascii="Cambria" w:hAnsi="Cambria"/>
          <w:i/>
          <w:iCs/>
          <w:sz w:val="20"/>
          <w:szCs w:val="20"/>
        </w:rPr>
        <w:t>Prisoners in Australia, 202</w:t>
      </w:r>
      <w:r>
        <w:rPr>
          <w:rFonts w:ascii="Cambria" w:hAnsi="Cambria"/>
          <w:i/>
          <w:iCs/>
          <w:sz w:val="20"/>
          <w:szCs w:val="20"/>
        </w:rPr>
        <w:t>4</w:t>
      </w:r>
      <w:r w:rsidRPr="0092780B">
        <w:rPr>
          <w:rFonts w:ascii="Cambria" w:hAnsi="Cambria"/>
          <w:sz w:val="20"/>
          <w:szCs w:val="20"/>
        </w:rPr>
        <w:t>, Table 14.</w:t>
      </w:r>
      <w:r w:rsidRPr="0092780B">
        <w:rPr>
          <w:rFonts w:ascii="Cambria" w:hAnsi="Cambria"/>
          <w:bCs/>
          <w:color w:val="000000" w:themeColor="text1"/>
          <w:sz w:val="20"/>
          <w:szCs w:val="20"/>
          <w:lang w:eastAsia="en-AU"/>
        </w:rPr>
        <w:t xml:space="preserve"> </w:t>
      </w:r>
    </w:p>
    <w:p w:rsidR="006A56F5" w:rsidRPr="009B5582" w:rsidRDefault="006A56F5" w:rsidP="006A56F5">
      <w:pPr>
        <w:jc w:val="both"/>
        <w:rPr>
          <w:rFonts w:ascii="Cambria" w:hAnsi="Cambria"/>
          <w:b/>
          <w:bCs/>
          <w:color w:val="000000" w:themeColor="text1"/>
        </w:rPr>
      </w:pPr>
    </w:p>
    <w:p w:rsidR="006A56F5" w:rsidRDefault="006A56F5" w:rsidP="00162AC8">
      <w:pPr>
        <w:pStyle w:val="NoSpacing"/>
        <w:jc w:val="both"/>
        <w:rPr>
          <w:rFonts w:ascii="Cambria" w:hAnsi="Cambria" w:cs="Calibri"/>
          <w:color w:val="000000" w:themeColor="text1"/>
        </w:rPr>
      </w:pPr>
    </w:p>
    <w:p w:rsidR="006A56F5" w:rsidRDefault="006A56F5" w:rsidP="00AB273D">
      <w:pPr>
        <w:pStyle w:val="NoSpacing"/>
        <w:jc w:val="both"/>
        <w:rPr>
          <w:rFonts w:ascii="Cambria" w:hAnsi="Cambria"/>
          <w:color w:val="000000" w:themeColor="text1"/>
        </w:rPr>
      </w:pPr>
      <w:r>
        <w:rPr>
          <w:rFonts w:ascii="Cambria" w:hAnsi="Cambria" w:cs="Calibri"/>
        </w:rPr>
        <w:t xml:space="preserve">The proportionately large number of people imprisoned without having been formally sentenced, means that </w:t>
      </w:r>
      <w:r w:rsidRPr="00E67123">
        <w:rPr>
          <w:rFonts w:ascii="Cambria" w:hAnsi="Cambria" w:cs="Calibri"/>
        </w:rPr>
        <w:t xml:space="preserve">any weakening of the presumption of innocence and their liberty is likely to place a significant strain on an already over-stretched prison system. </w:t>
      </w:r>
    </w:p>
    <w:p w:rsidR="006A56F5" w:rsidRDefault="006A56F5" w:rsidP="00AB273D">
      <w:pPr>
        <w:pStyle w:val="NoSpacing"/>
        <w:jc w:val="both"/>
        <w:rPr>
          <w:rFonts w:ascii="Cambria" w:hAnsi="Cambria"/>
          <w:color w:val="000000" w:themeColor="text1"/>
        </w:rPr>
      </w:pPr>
    </w:p>
    <w:p w:rsidR="00AB273D" w:rsidRPr="006A56F5" w:rsidRDefault="00C12293" w:rsidP="00AB273D">
      <w:pPr>
        <w:pStyle w:val="NoSpacing"/>
        <w:jc w:val="both"/>
        <w:rPr>
          <w:rFonts w:ascii="Cambria" w:hAnsi="Cambria"/>
          <w:color w:val="000000" w:themeColor="text1"/>
        </w:rPr>
      </w:pPr>
      <w:r>
        <w:rPr>
          <w:rFonts w:ascii="Cambria" w:hAnsi="Cambria" w:cs="Calibri"/>
          <w:color w:val="000000" w:themeColor="text1"/>
        </w:rPr>
        <w:t>In the event that the Government does intend to proceed with the Bill, we are concerned that</w:t>
      </w:r>
      <w:r w:rsidR="00AB273D" w:rsidRPr="00600A82">
        <w:rPr>
          <w:rFonts w:ascii="Cambria" w:hAnsi="Cambria" w:cs="Calibri"/>
          <w:color w:val="000000" w:themeColor="text1"/>
        </w:rPr>
        <w:t xml:space="preserve"> bail may be refused because the accused “is likely to commit an offence”.</w:t>
      </w:r>
      <w:r w:rsidR="00AB273D" w:rsidRPr="00600A82">
        <w:rPr>
          <w:rStyle w:val="FootnoteReference"/>
          <w:rFonts w:ascii="Cambria" w:hAnsi="Cambria" w:cs="Calibri"/>
          <w:color w:val="000000" w:themeColor="text1"/>
        </w:rPr>
        <w:footnoteReference w:id="8"/>
      </w:r>
      <w:r w:rsidR="00AB273D" w:rsidRPr="00600A82">
        <w:rPr>
          <w:rFonts w:ascii="Cambria" w:hAnsi="Cambria" w:cs="Calibri"/>
          <w:color w:val="000000" w:themeColor="text1"/>
        </w:rPr>
        <w:t xml:space="preserve"> We strongly believe that this threshold is too low and recommend that it be amended to “is likely to commit a </w:t>
      </w:r>
      <w:r w:rsidR="00AB273D" w:rsidRPr="00600A82">
        <w:rPr>
          <w:rFonts w:ascii="Cambria" w:hAnsi="Cambria" w:cs="Calibri"/>
          <w:i/>
          <w:iCs/>
          <w:color w:val="000000" w:themeColor="text1"/>
        </w:rPr>
        <w:t>serious</w:t>
      </w:r>
      <w:r w:rsidR="00AB273D" w:rsidRPr="00600A82">
        <w:rPr>
          <w:rFonts w:ascii="Cambria" w:hAnsi="Cambria" w:cs="Calibri"/>
          <w:color w:val="000000" w:themeColor="text1"/>
        </w:rPr>
        <w:t xml:space="preserve"> offence”.</w:t>
      </w:r>
      <w:r w:rsidR="00600A82" w:rsidRPr="00600A82">
        <w:rPr>
          <w:rFonts w:ascii="Cambria" w:hAnsi="Cambria" w:cs="Calibri"/>
          <w:color w:val="000000" w:themeColor="text1"/>
        </w:rPr>
        <w:t xml:space="preserve"> In our opinion, the possible carrying out of a nonviolent crime such as drug possession or shoplifting should not be a reason to refuse bail. Expressed in another way, if a person is unlikely to commit a crime resulting in a term of imprisonment, they should not be refused bail. </w:t>
      </w:r>
      <w:r w:rsidR="00AB273D" w:rsidRPr="00600A82">
        <w:rPr>
          <w:rFonts w:ascii="Cambria" w:hAnsi="Cambria" w:cs="Calibri"/>
          <w:color w:val="000000" w:themeColor="text1"/>
        </w:rPr>
        <w:t>In New South Wales, the unacceptable risk test requires the likely commission of a ‘serious offence’</w:t>
      </w:r>
      <w:r w:rsidR="00600A82" w:rsidRPr="00600A82">
        <w:rPr>
          <w:rFonts w:ascii="Cambria" w:hAnsi="Cambria" w:cs="Calibri"/>
          <w:color w:val="000000" w:themeColor="text1"/>
        </w:rPr>
        <w:t>,</w:t>
      </w:r>
      <w:r w:rsidR="00AB273D" w:rsidRPr="00600A82">
        <w:rPr>
          <w:rStyle w:val="FootnoteReference"/>
          <w:rFonts w:ascii="Cambria" w:hAnsi="Cambria" w:cs="Calibri"/>
          <w:color w:val="000000" w:themeColor="text1"/>
        </w:rPr>
        <w:footnoteReference w:id="9"/>
      </w:r>
      <w:r w:rsidR="00600A82" w:rsidRPr="00600A82">
        <w:rPr>
          <w:rFonts w:ascii="Cambria" w:hAnsi="Cambria" w:cs="Calibri"/>
          <w:color w:val="000000" w:themeColor="text1"/>
        </w:rPr>
        <w:t xml:space="preserve"> while in Victoria </w:t>
      </w:r>
      <w:r w:rsidR="00AB273D" w:rsidRPr="00600A82">
        <w:rPr>
          <w:rFonts w:ascii="Cambria" w:hAnsi="Cambria" w:cs="Calibri"/>
          <w:color w:val="000000" w:themeColor="text1"/>
        </w:rPr>
        <w:t xml:space="preserve"> </w:t>
      </w:r>
      <w:r w:rsidR="00600A82" w:rsidRPr="00600A82">
        <w:rPr>
          <w:rFonts w:ascii="Cambria" w:hAnsi="Cambria" w:cs="Calibri"/>
          <w:color w:val="000000" w:themeColor="text1"/>
        </w:rPr>
        <w:t xml:space="preserve">a list of serious offences warranting the refusal of bail </w:t>
      </w:r>
      <w:r w:rsidR="007E582F">
        <w:rPr>
          <w:rFonts w:ascii="Cambria" w:hAnsi="Cambria" w:cs="Calibri"/>
          <w:color w:val="000000" w:themeColor="text1"/>
        </w:rPr>
        <w:t>is</w:t>
      </w:r>
      <w:r w:rsidR="00600A82" w:rsidRPr="00600A82">
        <w:rPr>
          <w:rFonts w:ascii="Cambria" w:hAnsi="Cambria" w:cs="Calibri"/>
          <w:color w:val="000000" w:themeColor="text1"/>
        </w:rPr>
        <w:t xml:space="preserve"> set out in the Act.</w:t>
      </w:r>
      <w:r w:rsidR="00600A82" w:rsidRPr="00600A82">
        <w:rPr>
          <w:rStyle w:val="FootnoteReference"/>
          <w:rFonts w:ascii="Cambria" w:hAnsi="Cambria" w:cs="Calibri"/>
          <w:color w:val="000000" w:themeColor="text1"/>
        </w:rPr>
        <w:footnoteReference w:id="10"/>
      </w:r>
      <w:r w:rsidR="00600A82" w:rsidRPr="00600A82">
        <w:rPr>
          <w:rFonts w:ascii="Cambria" w:hAnsi="Cambria" w:cs="Calibri"/>
          <w:color w:val="000000" w:themeColor="text1"/>
        </w:rPr>
        <w:t xml:space="preserve"> In our opinion, a ‘serious offence’ threshold</w:t>
      </w:r>
      <w:r w:rsidR="003C119B" w:rsidRPr="00600A82">
        <w:rPr>
          <w:rFonts w:ascii="Cambria" w:hAnsi="Cambria" w:cs="Calibri"/>
          <w:color w:val="000000" w:themeColor="text1"/>
        </w:rPr>
        <w:t xml:space="preserve"> </w:t>
      </w:r>
      <w:r w:rsidR="00AB273D" w:rsidRPr="00600A82">
        <w:rPr>
          <w:rFonts w:ascii="Cambria" w:hAnsi="Cambria" w:cs="Calibri"/>
          <w:color w:val="000000" w:themeColor="text1"/>
        </w:rPr>
        <w:t>better balances the right of the accused and the protection of the community.</w:t>
      </w:r>
      <w:r w:rsidR="00600A82" w:rsidRPr="00600A82">
        <w:rPr>
          <w:rFonts w:ascii="Cambria" w:hAnsi="Cambria" w:cs="Calibri"/>
          <w:color w:val="000000" w:themeColor="text1"/>
        </w:rPr>
        <w:t xml:space="preserve"> </w:t>
      </w:r>
    </w:p>
    <w:p w:rsidR="00600A82" w:rsidRDefault="00600A82" w:rsidP="00AB273D">
      <w:pPr>
        <w:pStyle w:val="NoSpacing"/>
        <w:jc w:val="both"/>
        <w:rPr>
          <w:rFonts w:ascii="Cambria" w:hAnsi="Cambria" w:cs="Calibri"/>
          <w:color w:val="FF0000"/>
        </w:rPr>
      </w:pPr>
    </w:p>
    <w:p w:rsidR="00600A82" w:rsidRPr="00600A82" w:rsidRDefault="00600A82" w:rsidP="00600A82">
      <w:pPr>
        <w:pStyle w:val="NoSpacing"/>
        <w:pBdr>
          <w:top w:val="single" w:sz="4" w:space="1" w:color="auto"/>
          <w:left w:val="single" w:sz="4" w:space="4" w:color="auto"/>
          <w:bottom w:val="single" w:sz="4" w:space="1" w:color="auto"/>
          <w:right w:val="single" w:sz="4" w:space="4" w:color="auto"/>
        </w:pBdr>
        <w:jc w:val="both"/>
        <w:rPr>
          <w:rFonts w:ascii="Cambria" w:hAnsi="Cambria" w:cs="Calibri"/>
          <w:color w:val="000000" w:themeColor="text1"/>
        </w:rPr>
      </w:pPr>
      <w:r w:rsidRPr="00600A82">
        <w:rPr>
          <w:rFonts w:ascii="Cambria" w:hAnsi="Cambria" w:cs="Calibri"/>
          <w:b/>
          <w:bCs/>
          <w:color w:val="000000" w:themeColor="text1"/>
        </w:rPr>
        <w:t>Recommendation:</w:t>
      </w:r>
      <w:r w:rsidRPr="00600A82">
        <w:rPr>
          <w:rFonts w:ascii="Cambria" w:hAnsi="Cambria" w:cs="Calibri"/>
          <w:color w:val="000000" w:themeColor="text1"/>
        </w:rPr>
        <w:t xml:space="preserve"> That the refusal of bail </w:t>
      </w:r>
      <w:r w:rsidR="009F0DD1">
        <w:rPr>
          <w:rFonts w:ascii="Cambria" w:hAnsi="Cambria" w:cs="Calibri"/>
          <w:color w:val="000000" w:themeColor="text1"/>
        </w:rPr>
        <w:t>is</w:t>
      </w:r>
      <w:r w:rsidRPr="00600A82">
        <w:rPr>
          <w:rFonts w:ascii="Cambria" w:hAnsi="Cambria" w:cs="Calibri"/>
          <w:color w:val="000000" w:themeColor="text1"/>
        </w:rPr>
        <w:t xml:space="preserve"> narrowed to circumstances where the</w:t>
      </w:r>
      <w:r w:rsidR="007E582F">
        <w:rPr>
          <w:rFonts w:ascii="Cambria" w:hAnsi="Cambria" w:cs="Calibri"/>
          <w:color w:val="000000" w:themeColor="text1"/>
        </w:rPr>
        <w:t>re is an unacceptable risk that the</w:t>
      </w:r>
      <w:r w:rsidRPr="00600A82">
        <w:rPr>
          <w:rFonts w:ascii="Cambria" w:hAnsi="Cambria" w:cs="Calibri"/>
          <w:color w:val="000000" w:themeColor="text1"/>
        </w:rPr>
        <w:t xml:space="preserve"> applicant is likely to carry out a serious offence.   </w:t>
      </w:r>
    </w:p>
    <w:p w:rsidR="00C9750B" w:rsidRDefault="00C9750B" w:rsidP="00162AC8">
      <w:pPr>
        <w:pStyle w:val="NoSpacing"/>
        <w:jc w:val="both"/>
        <w:rPr>
          <w:rFonts w:ascii="Cambria" w:hAnsi="Cambria" w:cs="Calibri"/>
          <w:b/>
          <w:bCs/>
        </w:rPr>
      </w:pPr>
    </w:p>
    <w:p w:rsidR="009F0DD1" w:rsidRPr="00C12293" w:rsidRDefault="009F0DD1" w:rsidP="00C12293">
      <w:pPr>
        <w:pStyle w:val="NoSpacing"/>
        <w:numPr>
          <w:ilvl w:val="0"/>
          <w:numId w:val="3"/>
        </w:numPr>
        <w:jc w:val="both"/>
        <w:rPr>
          <w:rFonts w:ascii="Cambria" w:hAnsi="Cambria" w:cs="Calibri"/>
          <w:b/>
          <w:bCs/>
          <w:i/>
          <w:iCs/>
        </w:rPr>
      </w:pPr>
      <w:r w:rsidRPr="00C12293">
        <w:rPr>
          <w:rFonts w:ascii="Cambria" w:hAnsi="Cambria" w:cs="Calibri"/>
          <w:b/>
          <w:bCs/>
          <w:i/>
          <w:iCs/>
        </w:rPr>
        <w:t xml:space="preserve">Special vulnerabilities </w:t>
      </w:r>
    </w:p>
    <w:p w:rsidR="00AB273D" w:rsidRDefault="009F0DD1" w:rsidP="00F75640">
      <w:pPr>
        <w:pStyle w:val="NoSpacing"/>
        <w:jc w:val="both"/>
        <w:rPr>
          <w:rFonts w:ascii="Cambria" w:hAnsi="Cambria" w:cstheme="minorBidi"/>
          <w:color w:val="000000" w:themeColor="text1"/>
        </w:rPr>
      </w:pPr>
      <w:r w:rsidRPr="00770CFE">
        <w:rPr>
          <w:rFonts w:ascii="Cambria" w:hAnsi="Cambria" w:cs="Calibri"/>
          <w:color w:val="000000" w:themeColor="text1"/>
        </w:rPr>
        <w:t>We strongly support the bail authority taking into account “any special vulnerability or needs of the person, including, but not limited to, age, health, background, nationality and ethnicity”.</w:t>
      </w:r>
      <w:r w:rsidRPr="00770CFE">
        <w:rPr>
          <w:rStyle w:val="FootnoteReference"/>
          <w:rFonts w:ascii="Cambria" w:hAnsi="Cambria" w:cs="Calibri"/>
          <w:color w:val="000000" w:themeColor="text1"/>
        </w:rPr>
        <w:footnoteReference w:id="11"/>
      </w:r>
      <w:r w:rsidRPr="00770CFE">
        <w:rPr>
          <w:rFonts w:ascii="Cambria" w:hAnsi="Cambria" w:cs="Calibri"/>
          <w:color w:val="000000" w:themeColor="text1"/>
        </w:rPr>
        <w:t xml:space="preserve"> While is accepted that some </w:t>
      </w:r>
      <w:r w:rsidR="00F75640" w:rsidRPr="00770CFE">
        <w:rPr>
          <w:rFonts w:ascii="Cambria" w:hAnsi="Cambria" w:cs="Calibri"/>
          <w:color w:val="000000" w:themeColor="text1"/>
        </w:rPr>
        <w:t xml:space="preserve">bail authorities will take into account whether the applicant is </w:t>
      </w:r>
      <w:r w:rsidR="00770CFE" w:rsidRPr="00770CFE">
        <w:rPr>
          <w:rFonts w:ascii="Cambria" w:hAnsi="Cambria" w:cs="Calibri"/>
          <w:color w:val="000000" w:themeColor="text1"/>
        </w:rPr>
        <w:t xml:space="preserve">indigenous </w:t>
      </w:r>
      <w:r w:rsidR="00F75640" w:rsidRPr="00770CFE">
        <w:rPr>
          <w:rFonts w:ascii="Cambria" w:hAnsi="Cambria" w:cs="Calibri"/>
          <w:color w:val="000000" w:themeColor="text1"/>
        </w:rPr>
        <w:t xml:space="preserve">we strongly recommend that this is explicitly included. This </w:t>
      </w:r>
      <w:r w:rsidR="00F75640" w:rsidRPr="00770CFE">
        <w:rPr>
          <w:rFonts w:ascii="Cambria" w:hAnsi="Cambria" w:cs="Calibri"/>
          <w:color w:val="000000" w:themeColor="text1"/>
        </w:rPr>
        <w:lastRenderedPageBreak/>
        <w:t>is because</w:t>
      </w:r>
      <w:r w:rsidR="00770E88" w:rsidRPr="00770CFE">
        <w:rPr>
          <w:rFonts w:ascii="Cambria" w:hAnsi="Cambria" w:cs="Calibri"/>
          <w:color w:val="000000" w:themeColor="text1"/>
        </w:rPr>
        <w:t xml:space="preserve"> </w:t>
      </w:r>
      <w:r w:rsidR="00600A82" w:rsidRPr="00770CFE">
        <w:rPr>
          <w:rFonts w:ascii="Cambria" w:hAnsi="Cambria" w:cstheme="minorBidi"/>
          <w:color w:val="000000" w:themeColor="text1"/>
        </w:rPr>
        <w:t>Aboriginal and Torres Strait Islander people are less likely than non-Indigenous persons to be granted bail,</w:t>
      </w:r>
      <w:r w:rsidR="00600A82" w:rsidRPr="00770CFE">
        <w:rPr>
          <w:rStyle w:val="FootnoteReference"/>
          <w:rFonts w:ascii="Cambria" w:hAnsi="Cambria" w:cstheme="minorBidi"/>
          <w:color w:val="000000" w:themeColor="text1"/>
        </w:rPr>
        <w:footnoteReference w:id="12"/>
      </w:r>
      <w:r w:rsidR="00600A82" w:rsidRPr="00770CFE">
        <w:rPr>
          <w:rFonts w:ascii="Cambria" w:hAnsi="Cambria" w:cstheme="minorBidi"/>
          <w:color w:val="000000" w:themeColor="text1"/>
        </w:rPr>
        <w:t xml:space="preserve"> due to high rates of mental and physical disability, communication and language difficulties, lack of education, and difficulties in appearing at court at an appointed place or time.</w:t>
      </w:r>
      <w:r w:rsidR="00600A82" w:rsidRPr="00770CFE">
        <w:rPr>
          <w:rStyle w:val="FootnoteReference"/>
          <w:rFonts w:ascii="Cambria" w:hAnsi="Cambria" w:cstheme="minorBidi"/>
          <w:color w:val="000000" w:themeColor="text1"/>
        </w:rPr>
        <w:footnoteReference w:id="13"/>
      </w:r>
      <w:r w:rsidR="00600A82" w:rsidRPr="00770CFE">
        <w:rPr>
          <w:rFonts w:ascii="Cambria" w:hAnsi="Cambria" w:cstheme="minorBidi"/>
          <w:color w:val="000000" w:themeColor="text1"/>
        </w:rPr>
        <w:t xml:space="preserve"> </w:t>
      </w:r>
      <w:r w:rsidR="00770CFE" w:rsidRPr="00770CFE">
        <w:rPr>
          <w:rFonts w:ascii="Cambria" w:hAnsi="Cambria" w:cstheme="minorBidi"/>
          <w:color w:val="000000" w:themeColor="text1"/>
        </w:rPr>
        <w:t>For example, a</w:t>
      </w:r>
      <w:r w:rsidR="00770CFE" w:rsidRPr="00770CFE">
        <w:rPr>
          <w:rFonts w:ascii="Cambria" w:hAnsi="Cambria"/>
          <w:iCs/>
          <w:color w:val="000000" w:themeColor="text1"/>
        </w:rPr>
        <w:t>ccording to the Australian Bureau of Statistics, 32</w:t>
      </w:r>
      <w:r w:rsidR="00770CFE" w:rsidRPr="00770CFE">
        <w:rPr>
          <w:rFonts w:ascii="Cambria" w:hAnsi="Cambria"/>
          <w:iCs/>
          <w:color w:val="000000" w:themeColor="text1"/>
        </w:rPr>
        <w:t xml:space="preserve"> per cent</w:t>
      </w:r>
      <w:r w:rsidR="00770CFE" w:rsidRPr="00770CFE">
        <w:rPr>
          <w:rFonts w:ascii="Cambria" w:hAnsi="Cambria"/>
          <w:iCs/>
          <w:color w:val="000000" w:themeColor="text1"/>
        </w:rPr>
        <w:t xml:space="preserve"> of the Tasmanian </w:t>
      </w:r>
      <w:r w:rsidR="00770CFE" w:rsidRPr="00770CFE">
        <w:rPr>
          <w:rFonts w:ascii="Cambria" w:hAnsi="Cambria"/>
          <w:iCs/>
          <w:color w:val="000000" w:themeColor="text1"/>
        </w:rPr>
        <w:t>p</w:t>
      </w:r>
      <w:r w:rsidR="00770CFE" w:rsidRPr="00770CFE">
        <w:rPr>
          <w:rFonts w:ascii="Cambria" w:hAnsi="Cambria"/>
          <w:iCs/>
          <w:color w:val="000000" w:themeColor="text1"/>
        </w:rPr>
        <w:t>rison population is Aboriginal or Torres Strait Islander compared to 5 per cent in the broader Tasmanian population</w:t>
      </w:r>
      <w:r w:rsidR="00770CFE" w:rsidRPr="00770CFE">
        <w:rPr>
          <w:rFonts w:ascii="Cambria" w:hAnsi="Cambria"/>
          <w:iCs/>
          <w:color w:val="000000" w:themeColor="text1"/>
        </w:rPr>
        <w:t>.</w:t>
      </w:r>
      <w:r w:rsidR="00770CFE" w:rsidRPr="00770CFE">
        <w:rPr>
          <w:rStyle w:val="FootnoteReference"/>
          <w:rFonts w:ascii="Cambria" w:hAnsi="Cambria"/>
          <w:iCs/>
          <w:color w:val="000000" w:themeColor="text1"/>
        </w:rPr>
        <w:footnoteReference w:id="14"/>
      </w:r>
      <w:r w:rsidR="00770CFE">
        <w:rPr>
          <w:rFonts w:ascii="Cambria" w:hAnsi="Cambria" w:cstheme="minorBidi"/>
          <w:color w:val="000000" w:themeColor="text1"/>
        </w:rPr>
        <w:t xml:space="preserve"> </w:t>
      </w:r>
      <w:r w:rsidR="00600A82" w:rsidRPr="00770E88">
        <w:rPr>
          <w:rFonts w:ascii="Cambria" w:hAnsi="Cambria" w:cstheme="minorBidi"/>
          <w:color w:val="000000" w:themeColor="text1"/>
        </w:rPr>
        <w:t>As a result,</w:t>
      </w:r>
      <w:r w:rsidR="00770E88" w:rsidRPr="00770E88">
        <w:rPr>
          <w:rFonts w:ascii="Cambria" w:hAnsi="Cambria" w:cstheme="minorBidi"/>
          <w:color w:val="000000" w:themeColor="text1"/>
        </w:rPr>
        <w:t xml:space="preserve"> </w:t>
      </w:r>
      <w:r w:rsidR="00600A82" w:rsidRPr="00770E88">
        <w:rPr>
          <w:rFonts w:ascii="Cambria" w:hAnsi="Cambria" w:cstheme="minorBidi"/>
          <w:color w:val="000000" w:themeColor="text1"/>
        </w:rPr>
        <w:t xml:space="preserve">‘indigenous status’ should be expressly added to the broad range of vulnerabilities listed in </w:t>
      </w:r>
      <w:r w:rsidR="00C9750B">
        <w:rPr>
          <w:rFonts w:ascii="Cambria" w:hAnsi="Cambria" w:cstheme="minorBidi"/>
          <w:color w:val="000000" w:themeColor="text1"/>
        </w:rPr>
        <w:t xml:space="preserve">clause </w:t>
      </w:r>
      <w:r w:rsidR="00770E88" w:rsidRPr="00770E88">
        <w:rPr>
          <w:rFonts w:ascii="Cambria" w:hAnsi="Cambria" w:cstheme="minorBidi"/>
          <w:color w:val="000000" w:themeColor="text1"/>
        </w:rPr>
        <w:t>5</w:t>
      </w:r>
      <w:r w:rsidR="00600A82" w:rsidRPr="00770E88">
        <w:rPr>
          <w:rFonts w:ascii="Cambria" w:hAnsi="Cambria" w:cstheme="minorBidi"/>
          <w:color w:val="000000" w:themeColor="text1"/>
        </w:rPr>
        <w:t>(2)(</w:t>
      </w:r>
      <w:r w:rsidR="00770E88" w:rsidRPr="00770E88">
        <w:rPr>
          <w:rFonts w:ascii="Cambria" w:hAnsi="Cambria" w:cstheme="minorBidi"/>
          <w:color w:val="000000" w:themeColor="text1"/>
        </w:rPr>
        <w:t>d</w:t>
      </w:r>
      <w:r w:rsidR="00600A82" w:rsidRPr="00770E88">
        <w:rPr>
          <w:rFonts w:ascii="Cambria" w:hAnsi="Cambria" w:cstheme="minorBidi"/>
          <w:color w:val="000000" w:themeColor="text1"/>
        </w:rPr>
        <w:t>).</w:t>
      </w:r>
      <w:r w:rsidR="00C9750B">
        <w:rPr>
          <w:rFonts w:ascii="Cambria" w:hAnsi="Cambria" w:cstheme="minorBidi"/>
          <w:color w:val="000000" w:themeColor="text1"/>
        </w:rPr>
        <w:t xml:space="preserve"> </w:t>
      </w:r>
      <w:r w:rsidR="00600A82" w:rsidRPr="00770E88">
        <w:rPr>
          <w:rFonts w:ascii="Cambria" w:hAnsi="Cambria" w:cstheme="minorBidi"/>
          <w:color w:val="000000" w:themeColor="text1"/>
        </w:rPr>
        <w:t xml:space="preserve">We believe that the </w:t>
      </w:r>
      <w:r w:rsidR="00C9750B">
        <w:rPr>
          <w:rFonts w:ascii="Cambria" w:hAnsi="Cambria" w:cstheme="minorBidi"/>
          <w:color w:val="000000" w:themeColor="text1"/>
        </w:rPr>
        <w:t xml:space="preserve">inclusion </w:t>
      </w:r>
      <w:r w:rsidR="00600A82" w:rsidRPr="00770E88">
        <w:rPr>
          <w:rFonts w:ascii="Cambria" w:hAnsi="Cambria" w:cstheme="minorBidi"/>
          <w:color w:val="000000" w:themeColor="text1"/>
        </w:rPr>
        <w:t xml:space="preserve">of this provision will assist in recognising the particular vulnerabilities faced by Aboriginal and Torres Strait Islander persons and better address the needs of Indigenous persons within the criminal justice system. </w:t>
      </w:r>
    </w:p>
    <w:p w:rsidR="00770E88" w:rsidRDefault="00770E88" w:rsidP="00770E88">
      <w:pPr>
        <w:pStyle w:val="NoSpacing"/>
        <w:jc w:val="both"/>
        <w:rPr>
          <w:rFonts w:ascii="Cambria" w:hAnsi="Cambria" w:cs="Calibri"/>
          <w:color w:val="FF0000"/>
        </w:rPr>
      </w:pPr>
    </w:p>
    <w:p w:rsidR="00770E88" w:rsidRPr="00600A82" w:rsidRDefault="00770E88" w:rsidP="00770E88">
      <w:pPr>
        <w:pStyle w:val="NoSpacing"/>
        <w:pBdr>
          <w:top w:val="single" w:sz="4" w:space="1" w:color="auto"/>
          <w:left w:val="single" w:sz="4" w:space="4" w:color="auto"/>
          <w:bottom w:val="single" w:sz="4" w:space="1" w:color="auto"/>
          <w:right w:val="single" w:sz="4" w:space="4" w:color="auto"/>
        </w:pBdr>
        <w:jc w:val="both"/>
        <w:rPr>
          <w:rFonts w:ascii="Cambria" w:hAnsi="Cambria" w:cs="Calibri"/>
          <w:color w:val="000000" w:themeColor="text1"/>
        </w:rPr>
      </w:pPr>
      <w:r w:rsidRPr="00600A82">
        <w:rPr>
          <w:rFonts w:ascii="Cambria" w:hAnsi="Cambria" w:cs="Calibri"/>
          <w:b/>
          <w:bCs/>
          <w:color w:val="000000" w:themeColor="text1"/>
        </w:rPr>
        <w:t>Recommendation:</w:t>
      </w:r>
      <w:r w:rsidRPr="00600A82">
        <w:rPr>
          <w:rFonts w:ascii="Cambria" w:hAnsi="Cambria" w:cs="Calibri"/>
          <w:color w:val="000000" w:themeColor="text1"/>
        </w:rPr>
        <w:t xml:space="preserve"> That</w:t>
      </w:r>
      <w:r>
        <w:rPr>
          <w:rFonts w:ascii="Cambria" w:hAnsi="Cambria" w:cs="Calibri"/>
          <w:color w:val="000000" w:themeColor="text1"/>
        </w:rPr>
        <w:t xml:space="preserve"> ‘indigenous status’ is explicitly recognised as a</w:t>
      </w:r>
      <w:r w:rsidR="00E60191">
        <w:rPr>
          <w:rFonts w:ascii="Cambria" w:hAnsi="Cambria" w:cs="Calibri"/>
          <w:color w:val="000000" w:themeColor="text1"/>
        </w:rPr>
        <w:t xml:space="preserve"> factor to be considered. </w:t>
      </w:r>
    </w:p>
    <w:p w:rsidR="00770CFE" w:rsidRPr="00770CFE" w:rsidRDefault="00770CFE" w:rsidP="00770CFE">
      <w:pPr>
        <w:ind w:right="-52"/>
        <w:jc w:val="both"/>
        <w:rPr>
          <w:rFonts w:ascii="Cambria" w:hAnsi="Cambria"/>
          <w:bCs/>
          <w:color w:val="000000" w:themeColor="text1"/>
          <w:lang w:eastAsia="en-AU"/>
        </w:rPr>
      </w:pPr>
    </w:p>
    <w:p w:rsidR="00770CFE" w:rsidRPr="00770CFE" w:rsidRDefault="00770CFE" w:rsidP="00770CFE">
      <w:pPr>
        <w:pStyle w:val="ListParagraph"/>
        <w:numPr>
          <w:ilvl w:val="0"/>
          <w:numId w:val="6"/>
        </w:numPr>
        <w:ind w:right="-347"/>
        <w:jc w:val="both"/>
        <w:rPr>
          <w:rFonts w:ascii="Cambria" w:hAnsi="Cambria" w:cstheme="minorBidi"/>
          <w:b/>
          <w:bCs/>
          <w:i/>
          <w:iCs/>
          <w:color w:val="000000" w:themeColor="text1"/>
        </w:rPr>
      </w:pPr>
      <w:r w:rsidRPr="00770CFE">
        <w:rPr>
          <w:rFonts w:ascii="Cambria" w:hAnsi="Cambria" w:cstheme="minorBidi"/>
          <w:b/>
          <w:bCs/>
          <w:i/>
          <w:iCs/>
          <w:color w:val="000000" w:themeColor="text1"/>
        </w:rPr>
        <w:t>Appeals in Respect of Bail</w:t>
      </w:r>
    </w:p>
    <w:p w:rsidR="006A56F5" w:rsidRDefault="006A56F5" w:rsidP="006A56F5">
      <w:pPr>
        <w:pStyle w:val="NoSpacing"/>
        <w:jc w:val="both"/>
        <w:rPr>
          <w:rFonts w:ascii="Cambria" w:hAnsi="Cambria" w:cs="Calibri"/>
        </w:rPr>
      </w:pPr>
      <w:r>
        <w:rPr>
          <w:rFonts w:ascii="Cambria" w:hAnsi="Cambria" w:cs="Calibri"/>
        </w:rPr>
        <w:t xml:space="preserve">A </w:t>
      </w:r>
      <w:r w:rsidRPr="00E67123">
        <w:rPr>
          <w:rFonts w:ascii="Cambria" w:hAnsi="Cambria" w:cs="Calibri"/>
        </w:rPr>
        <w:t xml:space="preserve">number of our member centres have reported instances where an accused having been on remand for many months has sought legal advice about changing their plea and the likely sentences. Having received the advice, the accused has concluded that they are likely to get time served and have changed their plea to guilty. In other words, the accused has made the decision to plead guilty, not based on their guilt or innocence but for finalisation. </w:t>
      </w:r>
    </w:p>
    <w:p w:rsidR="006A56F5" w:rsidRDefault="006A56F5" w:rsidP="006A56F5">
      <w:pPr>
        <w:pStyle w:val="NoSpacing"/>
        <w:jc w:val="both"/>
        <w:rPr>
          <w:rFonts w:ascii="Cambria" w:hAnsi="Cambria" w:cs="Calibri"/>
        </w:rPr>
      </w:pPr>
    </w:p>
    <w:p w:rsidR="00770CFE" w:rsidRPr="006A56F5" w:rsidRDefault="00770CFE" w:rsidP="006A56F5">
      <w:pPr>
        <w:pStyle w:val="NoSpacing"/>
        <w:jc w:val="both"/>
        <w:rPr>
          <w:rFonts w:ascii="Cambria" w:hAnsi="Cambria" w:cs="Calibri"/>
        </w:rPr>
      </w:pPr>
      <w:r w:rsidRPr="00770CFE">
        <w:rPr>
          <w:rFonts w:ascii="Cambria" w:hAnsi="Cambria" w:cstheme="minorBidi"/>
          <w:color w:val="000000" w:themeColor="text1"/>
        </w:rPr>
        <w:t xml:space="preserve">To uphold the established principle that an individual’s liberty should not be deprived except in necessary and appropriate circumstances, </w:t>
      </w:r>
      <w:r>
        <w:rPr>
          <w:rFonts w:ascii="Cambria" w:hAnsi="Cambria" w:cstheme="minorBidi"/>
          <w:color w:val="000000" w:themeColor="text1"/>
        </w:rPr>
        <w:t>clause</w:t>
      </w:r>
      <w:r w:rsidRPr="00770CFE">
        <w:rPr>
          <w:rFonts w:ascii="Cambria" w:hAnsi="Cambria" w:cstheme="minorBidi"/>
          <w:color w:val="000000" w:themeColor="text1"/>
        </w:rPr>
        <w:t xml:space="preserve"> 2</w:t>
      </w:r>
      <w:r>
        <w:rPr>
          <w:rFonts w:ascii="Cambria" w:hAnsi="Cambria" w:cstheme="minorBidi"/>
          <w:color w:val="000000" w:themeColor="text1"/>
        </w:rPr>
        <w:t>5</w:t>
      </w:r>
      <w:r w:rsidRPr="00770CFE">
        <w:rPr>
          <w:rFonts w:ascii="Cambria" w:hAnsi="Cambria" w:cstheme="minorBidi"/>
          <w:color w:val="000000" w:themeColor="text1"/>
        </w:rPr>
        <w:t xml:space="preserve"> should be amended to include a provision that the referral for an appeal of bail must </w:t>
      </w:r>
      <w:r w:rsidR="00C12293">
        <w:rPr>
          <w:rFonts w:ascii="Cambria" w:hAnsi="Cambria" w:cstheme="minorBidi"/>
          <w:color w:val="000000" w:themeColor="text1"/>
        </w:rPr>
        <w:t xml:space="preserve">be heard </w:t>
      </w:r>
      <w:r w:rsidRPr="00770CFE">
        <w:rPr>
          <w:rFonts w:ascii="Cambria" w:hAnsi="Cambria" w:cstheme="minorBidi"/>
          <w:color w:val="000000" w:themeColor="text1"/>
        </w:rPr>
        <w:t xml:space="preserve">‘as soon as practicable’. We are concerned that </w:t>
      </w:r>
      <w:r w:rsidR="00C12293">
        <w:rPr>
          <w:rFonts w:ascii="Cambria" w:hAnsi="Cambria" w:cstheme="minorBidi"/>
          <w:color w:val="000000" w:themeColor="text1"/>
        </w:rPr>
        <w:t xml:space="preserve">some </w:t>
      </w:r>
      <w:r w:rsidRPr="00770CFE">
        <w:rPr>
          <w:rFonts w:ascii="Cambria" w:hAnsi="Cambria" w:cstheme="minorBidi"/>
          <w:color w:val="000000" w:themeColor="text1"/>
        </w:rPr>
        <w:t xml:space="preserve">individuals may be held in custody for a significant period of time </w:t>
      </w:r>
      <w:r w:rsidR="00C12293">
        <w:rPr>
          <w:rFonts w:ascii="Cambria" w:hAnsi="Cambria" w:cstheme="minorBidi"/>
          <w:color w:val="000000" w:themeColor="text1"/>
        </w:rPr>
        <w:t>before the refusal of bail appeal is heard</w:t>
      </w:r>
      <w:r w:rsidRPr="00770CFE">
        <w:rPr>
          <w:rFonts w:ascii="Cambria" w:hAnsi="Cambria" w:cstheme="minorBidi"/>
          <w:color w:val="000000" w:themeColor="text1"/>
        </w:rPr>
        <w:t>.</w:t>
      </w:r>
      <w:r w:rsidR="006A56F5">
        <w:rPr>
          <w:rFonts w:ascii="Cambria" w:hAnsi="Cambria" w:cstheme="minorBidi"/>
          <w:color w:val="000000" w:themeColor="text1"/>
        </w:rPr>
        <w:t xml:space="preserve"> </w:t>
      </w:r>
      <w:r w:rsidRPr="00770CFE">
        <w:rPr>
          <w:rFonts w:ascii="Cambria" w:hAnsi="Cambria" w:cstheme="minorBidi"/>
          <w:color w:val="000000" w:themeColor="text1"/>
        </w:rPr>
        <w:t>Inserting ‘as soon as practicable’ will</w:t>
      </w:r>
      <w:r w:rsidR="00C12293">
        <w:rPr>
          <w:rFonts w:ascii="Cambria" w:hAnsi="Cambria" w:cstheme="minorBidi"/>
          <w:color w:val="000000" w:themeColor="text1"/>
        </w:rPr>
        <w:t xml:space="preserve"> </w:t>
      </w:r>
      <w:r w:rsidRPr="00770CFE">
        <w:rPr>
          <w:rFonts w:ascii="Cambria" w:hAnsi="Cambria" w:cstheme="minorBidi"/>
          <w:color w:val="000000" w:themeColor="text1"/>
        </w:rPr>
        <w:t xml:space="preserve">ensure that </w:t>
      </w:r>
      <w:r w:rsidR="00C12293">
        <w:rPr>
          <w:rFonts w:ascii="Cambria" w:hAnsi="Cambria" w:cstheme="minorBidi"/>
          <w:color w:val="000000" w:themeColor="text1"/>
        </w:rPr>
        <w:t xml:space="preserve">appeals are heard in an expeditious manner. </w:t>
      </w:r>
    </w:p>
    <w:p w:rsidR="00C12293" w:rsidRDefault="00C12293" w:rsidP="00C12293">
      <w:pPr>
        <w:pStyle w:val="NoSpacing"/>
        <w:jc w:val="both"/>
        <w:rPr>
          <w:rFonts w:ascii="Cambria" w:hAnsi="Cambria" w:cs="Calibri"/>
          <w:color w:val="FF0000"/>
        </w:rPr>
      </w:pPr>
    </w:p>
    <w:p w:rsidR="00C12293" w:rsidRPr="00600A82" w:rsidRDefault="00C12293" w:rsidP="00C12293">
      <w:pPr>
        <w:pStyle w:val="NoSpacing"/>
        <w:pBdr>
          <w:top w:val="single" w:sz="4" w:space="1" w:color="auto"/>
          <w:left w:val="single" w:sz="4" w:space="4" w:color="auto"/>
          <w:bottom w:val="single" w:sz="4" w:space="1" w:color="auto"/>
          <w:right w:val="single" w:sz="4" w:space="4" w:color="auto"/>
        </w:pBdr>
        <w:jc w:val="both"/>
        <w:rPr>
          <w:rFonts w:ascii="Cambria" w:hAnsi="Cambria" w:cs="Calibri"/>
          <w:color w:val="000000" w:themeColor="text1"/>
        </w:rPr>
      </w:pPr>
      <w:r w:rsidRPr="00600A82">
        <w:rPr>
          <w:rFonts w:ascii="Cambria" w:hAnsi="Cambria" w:cs="Calibri"/>
          <w:b/>
          <w:bCs/>
          <w:color w:val="000000" w:themeColor="text1"/>
        </w:rPr>
        <w:t>Recommendation:</w:t>
      </w:r>
      <w:r w:rsidRPr="00600A82">
        <w:rPr>
          <w:rFonts w:ascii="Cambria" w:hAnsi="Cambria" w:cs="Calibri"/>
          <w:color w:val="000000" w:themeColor="text1"/>
        </w:rPr>
        <w:t xml:space="preserve"> That</w:t>
      </w:r>
      <w:r>
        <w:rPr>
          <w:rFonts w:ascii="Cambria" w:hAnsi="Cambria" w:cs="Calibri"/>
          <w:color w:val="000000" w:themeColor="text1"/>
        </w:rPr>
        <w:t xml:space="preserve"> refusal of bail appeals are heard in an expeditious manner by explicitly requiring that they be heard ‘as soon as practicable’ after the appeal is lodged. </w:t>
      </w:r>
    </w:p>
    <w:p w:rsidR="006A56F5" w:rsidRPr="00770CFE" w:rsidRDefault="006A56F5" w:rsidP="00770CFE">
      <w:pPr>
        <w:ind w:right="-347"/>
        <w:jc w:val="both"/>
        <w:rPr>
          <w:rFonts w:ascii="Cambria" w:hAnsi="Cambria" w:cstheme="minorBidi"/>
          <w:color w:val="000000" w:themeColor="text1"/>
        </w:rPr>
      </w:pPr>
    </w:p>
    <w:p w:rsidR="00770CFE" w:rsidRPr="00770CFE" w:rsidRDefault="00770CFE" w:rsidP="00770CFE">
      <w:pPr>
        <w:pStyle w:val="ListParagraph"/>
        <w:numPr>
          <w:ilvl w:val="0"/>
          <w:numId w:val="7"/>
        </w:numPr>
        <w:ind w:right="-347"/>
        <w:jc w:val="both"/>
        <w:rPr>
          <w:rFonts w:ascii="Cambria" w:hAnsi="Cambria" w:cstheme="minorBidi"/>
          <w:b/>
          <w:bCs/>
          <w:i/>
          <w:iCs/>
          <w:color w:val="000000" w:themeColor="text1"/>
        </w:rPr>
      </w:pPr>
      <w:r w:rsidRPr="00770CFE">
        <w:rPr>
          <w:rFonts w:ascii="Cambria" w:hAnsi="Cambria" w:cstheme="minorBidi"/>
          <w:b/>
          <w:bCs/>
          <w:i/>
          <w:iCs/>
          <w:color w:val="000000" w:themeColor="text1"/>
        </w:rPr>
        <w:t>Justices of the Peace</w:t>
      </w:r>
    </w:p>
    <w:p w:rsidR="00770CFE" w:rsidRDefault="00770CFE" w:rsidP="00770CFE">
      <w:pPr>
        <w:ind w:right="-347"/>
        <w:jc w:val="both"/>
        <w:rPr>
          <w:rFonts w:ascii="Cambria" w:hAnsi="Cambria" w:cstheme="minorBidi"/>
          <w:color w:val="000000" w:themeColor="text1"/>
        </w:rPr>
      </w:pPr>
      <w:r w:rsidRPr="00770CFE">
        <w:rPr>
          <w:rFonts w:ascii="Cambria" w:hAnsi="Cambria" w:cstheme="minorBidi"/>
          <w:color w:val="000000" w:themeColor="text1"/>
        </w:rPr>
        <w:t xml:space="preserve">Finally, we also note our concern that Tasmania’s current systems allows justices of the peace to determine bail applications in afterhours sittings of the Magistrates Court. Alarmingly, justices of the peace are laypeople, require no legal qualifications, and are employed in a volunteer, unpaid capacity. We do not believe that delegating power to justices of the peace to hear and determine bail applications should occur. </w:t>
      </w:r>
      <w:r w:rsidRPr="00770CFE">
        <w:rPr>
          <w:rFonts w:ascii="Cambria" w:hAnsi="Cambria" w:cs="Calibri"/>
          <w:color w:val="000000" w:themeColor="text1"/>
          <w:shd w:val="clear" w:color="auto" w:fill="FFFFFF"/>
        </w:rPr>
        <w:t xml:space="preserve">Anecdotally, we are aware that justices of the peace </w:t>
      </w:r>
      <w:r w:rsidR="00475471">
        <w:rPr>
          <w:rFonts w:ascii="Cambria" w:hAnsi="Cambria" w:cs="Calibri"/>
          <w:color w:val="000000" w:themeColor="text1"/>
          <w:shd w:val="clear" w:color="auto" w:fill="FFFFFF"/>
        </w:rPr>
        <w:t>are reluctant</w:t>
      </w:r>
      <w:r w:rsidRPr="00770CFE">
        <w:rPr>
          <w:rFonts w:ascii="Cambria" w:hAnsi="Cambria" w:cs="Calibri"/>
          <w:color w:val="000000" w:themeColor="text1"/>
          <w:shd w:val="clear" w:color="auto" w:fill="FFFFFF"/>
        </w:rPr>
        <w:t xml:space="preserve"> </w:t>
      </w:r>
      <w:r w:rsidR="00475471">
        <w:rPr>
          <w:rFonts w:ascii="Cambria" w:hAnsi="Cambria" w:cs="Calibri"/>
          <w:color w:val="000000" w:themeColor="text1"/>
          <w:shd w:val="clear" w:color="auto" w:fill="FFFFFF"/>
        </w:rPr>
        <w:t xml:space="preserve">to </w:t>
      </w:r>
      <w:r w:rsidRPr="00770CFE">
        <w:rPr>
          <w:rFonts w:ascii="Cambria" w:hAnsi="Cambria" w:cs="Calibri"/>
          <w:color w:val="000000" w:themeColor="text1"/>
          <w:shd w:val="clear" w:color="auto" w:fill="FFFFFF"/>
        </w:rPr>
        <w:t xml:space="preserve">grant bail if prosecution and defence are not in agreement. In many cases, when the same application is made before a Magistrate the next </w:t>
      </w:r>
      <w:r w:rsidRPr="00770CFE">
        <w:rPr>
          <w:rFonts w:ascii="Cambria" w:hAnsi="Cambria" w:cs="Calibri"/>
          <w:color w:val="000000" w:themeColor="text1"/>
          <w:shd w:val="clear" w:color="auto" w:fill="FFFFFF"/>
        </w:rPr>
        <w:lastRenderedPageBreak/>
        <w:t xml:space="preserve">day or in the days after bail is refused, bail is granted. </w:t>
      </w:r>
      <w:r w:rsidRPr="00770CFE">
        <w:rPr>
          <w:rFonts w:ascii="Cambria" w:hAnsi="Cambria" w:cstheme="minorBidi"/>
          <w:color w:val="000000" w:themeColor="text1"/>
        </w:rPr>
        <w:t>The power to take away a person’s liberty should be solely vested in judicial officers and be made only by a legally qualified decision maker.</w:t>
      </w:r>
      <w:r w:rsidRPr="00770CFE">
        <w:rPr>
          <w:rStyle w:val="FootnoteReference"/>
          <w:rFonts w:ascii="Cambria" w:hAnsi="Cambria" w:cstheme="minorBidi"/>
          <w:color w:val="000000" w:themeColor="text1"/>
        </w:rPr>
        <w:footnoteReference w:id="15"/>
      </w:r>
      <w:r w:rsidRPr="00770CFE">
        <w:rPr>
          <w:rFonts w:ascii="Cambria" w:hAnsi="Cambria" w:cstheme="minorBidi"/>
          <w:color w:val="000000" w:themeColor="text1"/>
        </w:rPr>
        <w:t xml:space="preserve"> This is especially important given that the refusal to grant bail can have major consequences, including impacting the individual’s relationships, employment and housing situation.</w:t>
      </w:r>
    </w:p>
    <w:p w:rsidR="00C12293" w:rsidRDefault="00C12293" w:rsidP="00C12293">
      <w:pPr>
        <w:pStyle w:val="NoSpacing"/>
        <w:jc w:val="both"/>
        <w:rPr>
          <w:rFonts w:ascii="Cambria" w:hAnsi="Cambria" w:cs="Calibri"/>
          <w:color w:val="FF0000"/>
        </w:rPr>
      </w:pPr>
    </w:p>
    <w:p w:rsidR="00C12293" w:rsidRPr="00600A82" w:rsidRDefault="00C12293" w:rsidP="00C12293">
      <w:pPr>
        <w:pStyle w:val="NoSpacing"/>
        <w:pBdr>
          <w:top w:val="single" w:sz="4" w:space="1" w:color="auto"/>
          <w:left w:val="single" w:sz="4" w:space="4" w:color="auto"/>
          <w:bottom w:val="single" w:sz="4" w:space="1" w:color="auto"/>
          <w:right w:val="single" w:sz="4" w:space="4" w:color="auto"/>
        </w:pBdr>
        <w:jc w:val="both"/>
        <w:rPr>
          <w:rFonts w:ascii="Cambria" w:hAnsi="Cambria" w:cs="Calibri"/>
          <w:color w:val="000000" w:themeColor="text1"/>
        </w:rPr>
      </w:pPr>
      <w:r w:rsidRPr="00600A82">
        <w:rPr>
          <w:rFonts w:ascii="Cambria" w:hAnsi="Cambria" w:cs="Calibri"/>
          <w:b/>
          <w:bCs/>
          <w:color w:val="000000" w:themeColor="text1"/>
        </w:rPr>
        <w:t>Recommendation:</w:t>
      </w:r>
      <w:r w:rsidRPr="00600A82">
        <w:rPr>
          <w:rFonts w:ascii="Cambria" w:hAnsi="Cambria" w:cs="Calibri"/>
          <w:color w:val="000000" w:themeColor="text1"/>
        </w:rPr>
        <w:t xml:space="preserve"> That</w:t>
      </w:r>
      <w:r>
        <w:rPr>
          <w:rFonts w:ascii="Cambria" w:hAnsi="Cambria" w:cs="Calibri"/>
          <w:color w:val="000000" w:themeColor="text1"/>
        </w:rPr>
        <w:t xml:space="preserve"> all bail applications are heard by Magistrates or Judges. </w:t>
      </w:r>
    </w:p>
    <w:p w:rsidR="00162AC8" w:rsidRDefault="00162AC8" w:rsidP="00162AC8">
      <w:pPr>
        <w:ind w:right="-347"/>
        <w:jc w:val="both"/>
        <w:rPr>
          <w:rFonts w:ascii="Cambria" w:hAnsi="Cambria"/>
          <w:iCs/>
          <w:color w:val="000000" w:themeColor="text1"/>
          <w:sz w:val="23"/>
          <w:szCs w:val="23"/>
        </w:rPr>
      </w:pPr>
    </w:p>
    <w:p w:rsidR="006A56F5" w:rsidRDefault="006A56F5" w:rsidP="00162AC8">
      <w:pPr>
        <w:ind w:right="-347"/>
        <w:jc w:val="both"/>
        <w:rPr>
          <w:rFonts w:ascii="Cambria" w:hAnsi="Cambria"/>
          <w:iCs/>
          <w:color w:val="000000" w:themeColor="text1"/>
          <w:sz w:val="23"/>
          <w:szCs w:val="23"/>
        </w:rPr>
      </w:pPr>
      <w:r>
        <w:rPr>
          <w:rFonts w:ascii="Cambria" w:hAnsi="Cambria"/>
          <w:iCs/>
          <w:color w:val="000000" w:themeColor="text1"/>
          <w:sz w:val="23"/>
          <w:szCs w:val="23"/>
        </w:rPr>
        <w:t xml:space="preserve">If you have any queries, please do not hesitate to contact us. </w:t>
      </w:r>
    </w:p>
    <w:p w:rsidR="006A56F5" w:rsidRDefault="006A56F5" w:rsidP="00162AC8">
      <w:pPr>
        <w:ind w:right="-347"/>
        <w:jc w:val="both"/>
        <w:rPr>
          <w:rFonts w:ascii="Cambria" w:hAnsi="Cambria"/>
          <w:iCs/>
          <w:color w:val="000000" w:themeColor="text1"/>
          <w:sz w:val="23"/>
          <w:szCs w:val="23"/>
        </w:rPr>
      </w:pPr>
    </w:p>
    <w:p w:rsidR="006A56F5" w:rsidRPr="00FD5AD3" w:rsidRDefault="006A56F5" w:rsidP="00162AC8">
      <w:pPr>
        <w:ind w:right="-347"/>
        <w:jc w:val="both"/>
        <w:rPr>
          <w:rFonts w:ascii="Cambria" w:hAnsi="Cambria"/>
          <w:iCs/>
          <w:color w:val="000000" w:themeColor="text1"/>
          <w:sz w:val="23"/>
          <w:szCs w:val="23"/>
        </w:rPr>
      </w:pPr>
    </w:p>
    <w:p w:rsidR="00162AC8" w:rsidRPr="00FD5AD3" w:rsidRDefault="00162AC8" w:rsidP="00162AC8">
      <w:pPr>
        <w:ind w:right="-347"/>
        <w:jc w:val="both"/>
        <w:rPr>
          <w:rFonts w:ascii="Cambria" w:hAnsi="Cambria"/>
          <w:iCs/>
          <w:color w:val="000000" w:themeColor="text1"/>
          <w:sz w:val="23"/>
          <w:szCs w:val="23"/>
        </w:rPr>
      </w:pPr>
      <w:r w:rsidRPr="00FD5AD3">
        <w:rPr>
          <w:rFonts w:ascii="Cambria" w:hAnsi="Cambria"/>
          <w:iCs/>
          <w:color w:val="000000" w:themeColor="text1"/>
          <w:sz w:val="23"/>
          <w:szCs w:val="23"/>
        </w:rPr>
        <w:t>Yours faithfully,</w:t>
      </w:r>
    </w:p>
    <w:p w:rsidR="00162AC8" w:rsidRPr="00FD5AD3" w:rsidRDefault="00162AC8" w:rsidP="00162AC8">
      <w:pPr>
        <w:ind w:right="-347"/>
        <w:jc w:val="both"/>
        <w:rPr>
          <w:rFonts w:ascii="Cambria" w:hAnsi="Cambria"/>
          <w:iCs/>
          <w:color w:val="000000" w:themeColor="text1"/>
          <w:sz w:val="23"/>
          <w:szCs w:val="23"/>
        </w:rPr>
      </w:pPr>
    </w:p>
    <w:p w:rsidR="00162AC8" w:rsidRPr="00FD5AD3" w:rsidRDefault="00162AC8" w:rsidP="00162AC8">
      <w:pPr>
        <w:ind w:right="-347"/>
        <w:jc w:val="both"/>
        <w:rPr>
          <w:rFonts w:ascii="Cambria" w:hAnsi="Cambria"/>
          <w:iCs/>
          <w:color w:val="000000" w:themeColor="text1"/>
          <w:sz w:val="23"/>
          <w:szCs w:val="23"/>
        </w:rPr>
      </w:pPr>
    </w:p>
    <w:p w:rsidR="00162AC8" w:rsidRPr="00FD5AD3" w:rsidRDefault="00162AC8" w:rsidP="00162AC8">
      <w:pPr>
        <w:ind w:right="-347"/>
        <w:jc w:val="both"/>
        <w:rPr>
          <w:rFonts w:ascii="Cambria" w:hAnsi="Cambria"/>
          <w:iCs/>
          <w:color w:val="000000" w:themeColor="text1"/>
          <w:sz w:val="23"/>
          <w:szCs w:val="23"/>
        </w:rPr>
      </w:pPr>
    </w:p>
    <w:p w:rsidR="00162AC8" w:rsidRPr="00FD5AD3" w:rsidRDefault="00162AC8" w:rsidP="00162AC8">
      <w:pPr>
        <w:ind w:right="-347"/>
        <w:jc w:val="both"/>
        <w:rPr>
          <w:rFonts w:ascii="Cambria" w:hAnsi="Cambria"/>
          <w:iCs/>
          <w:color w:val="000000" w:themeColor="text1"/>
          <w:sz w:val="23"/>
          <w:szCs w:val="23"/>
        </w:rPr>
      </w:pPr>
      <w:r w:rsidRPr="00FD5AD3">
        <w:rPr>
          <w:rFonts w:ascii="Cambria" w:hAnsi="Cambria"/>
          <w:iCs/>
          <w:color w:val="000000" w:themeColor="text1"/>
          <w:sz w:val="23"/>
          <w:szCs w:val="23"/>
        </w:rPr>
        <w:t xml:space="preserve">Benedict </w:t>
      </w:r>
      <w:proofErr w:type="spellStart"/>
      <w:r w:rsidRPr="00FD5AD3">
        <w:rPr>
          <w:rFonts w:ascii="Cambria" w:hAnsi="Cambria"/>
          <w:iCs/>
          <w:color w:val="000000" w:themeColor="text1"/>
          <w:sz w:val="23"/>
          <w:szCs w:val="23"/>
        </w:rPr>
        <w:t>Bartl</w:t>
      </w:r>
      <w:proofErr w:type="spellEnd"/>
    </w:p>
    <w:p w:rsidR="00162AC8" w:rsidRPr="00FD5AD3" w:rsidRDefault="00162AC8" w:rsidP="00162AC8">
      <w:pPr>
        <w:ind w:right="-347"/>
        <w:jc w:val="both"/>
        <w:rPr>
          <w:rFonts w:ascii="Cambria" w:hAnsi="Cambria"/>
          <w:iCs/>
          <w:color w:val="000000" w:themeColor="text1"/>
          <w:sz w:val="23"/>
          <w:szCs w:val="23"/>
        </w:rPr>
      </w:pPr>
      <w:r w:rsidRPr="00FD5AD3">
        <w:rPr>
          <w:rFonts w:ascii="Cambria" w:hAnsi="Cambria"/>
          <w:iCs/>
          <w:color w:val="000000" w:themeColor="text1"/>
          <w:sz w:val="23"/>
          <w:szCs w:val="23"/>
        </w:rPr>
        <w:t>Policy Officer</w:t>
      </w:r>
    </w:p>
    <w:p w:rsidR="00162AC8" w:rsidRPr="00944BDE" w:rsidRDefault="00162AC8" w:rsidP="00162AC8">
      <w:pPr>
        <w:pBdr>
          <w:bottom w:val="single" w:sz="6" w:space="1" w:color="auto"/>
        </w:pBdr>
        <w:ind w:right="-347"/>
        <w:jc w:val="both"/>
        <w:rPr>
          <w:rFonts w:ascii="Cambria" w:hAnsi="Cambria"/>
          <w:b/>
          <w:bCs/>
          <w:iCs/>
          <w:color w:val="000000" w:themeColor="text1"/>
          <w:sz w:val="23"/>
          <w:szCs w:val="23"/>
        </w:rPr>
      </w:pPr>
      <w:r w:rsidRPr="00FD5AD3">
        <w:rPr>
          <w:rFonts w:ascii="Cambria" w:hAnsi="Cambria"/>
          <w:b/>
          <w:bCs/>
          <w:iCs/>
          <w:color w:val="000000" w:themeColor="text1"/>
          <w:sz w:val="23"/>
          <w:szCs w:val="23"/>
        </w:rPr>
        <w:t>Community Legal Centres Tasmania</w:t>
      </w:r>
    </w:p>
    <w:p w:rsidR="00542A98" w:rsidRDefault="00542A98"/>
    <w:p w:rsidR="00AB273D" w:rsidRDefault="00AB273D" w:rsidP="00AB273D"/>
    <w:p w:rsidR="00AB273D" w:rsidRDefault="00AB273D" w:rsidP="00AB273D"/>
    <w:sectPr w:rsidR="00AB273D" w:rsidSect="00E24D45">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7732" w:rsidRDefault="008C7732" w:rsidP="00162AC8">
      <w:r>
        <w:separator/>
      </w:r>
    </w:p>
  </w:endnote>
  <w:endnote w:type="continuationSeparator" w:id="0">
    <w:p w:rsidR="008C7732" w:rsidRDefault="008C7732" w:rsidP="0016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7525001"/>
      <w:docPartObj>
        <w:docPartGallery w:val="Page Numbers (Bottom of Page)"/>
        <w:docPartUnique/>
      </w:docPartObj>
    </w:sdtPr>
    <w:sdtContent>
      <w:p w:rsidR="00542A98" w:rsidRDefault="00000000" w:rsidP="0037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42A98" w:rsidRDefault="00542A98" w:rsidP="00C836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0397805"/>
      <w:docPartObj>
        <w:docPartGallery w:val="Page Numbers (Bottom of Page)"/>
        <w:docPartUnique/>
      </w:docPartObj>
    </w:sdtPr>
    <w:sdtContent>
      <w:p w:rsidR="00542A98" w:rsidRDefault="00000000" w:rsidP="00377A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542A98" w:rsidRDefault="00542A98" w:rsidP="00C836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7732" w:rsidRDefault="008C7732" w:rsidP="00162AC8">
      <w:r>
        <w:separator/>
      </w:r>
    </w:p>
  </w:footnote>
  <w:footnote w:type="continuationSeparator" w:id="0">
    <w:p w:rsidR="008C7732" w:rsidRDefault="008C7732" w:rsidP="00162AC8">
      <w:r>
        <w:continuationSeparator/>
      </w:r>
    </w:p>
  </w:footnote>
  <w:footnote w:id="1">
    <w:p w:rsidR="00162AC8" w:rsidRPr="00AB273D" w:rsidRDefault="00162AC8" w:rsidP="00162AC8">
      <w:pPr>
        <w:pStyle w:val="FootnoteText"/>
        <w:rPr>
          <w:rFonts w:ascii="Cambria" w:hAnsi="Cambria"/>
          <w:color w:val="000000" w:themeColor="text1"/>
          <w:sz w:val="20"/>
          <w:szCs w:val="20"/>
        </w:rPr>
      </w:pPr>
      <w:r w:rsidRPr="00AB273D">
        <w:rPr>
          <w:rStyle w:val="FootnoteReference"/>
          <w:rFonts w:ascii="Cambria" w:hAnsi="Cambria"/>
          <w:color w:val="000000" w:themeColor="text1"/>
          <w:sz w:val="20"/>
          <w:szCs w:val="20"/>
        </w:rPr>
        <w:footnoteRef/>
      </w:r>
      <w:r w:rsidRPr="00AB273D">
        <w:rPr>
          <w:rFonts w:ascii="Cambria" w:hAnsi="Cambria"/>
          <w:color w:val="000000" w:themeColor="text1"/>
          <w:sz w:val="20"/>
          <w:szCs w:val="20"/>
        </w:rPr>
        <w:t xml:space="preserve"> CLC Tas would like to acknowledge those persons and organisations who gave freely of their time in assisting with our submission. </w:t>
      </w:r>
    </w:p>
  </w:footnote>
  <w:footnote w:id="2">
    <w:p w:rsidR="00E67123" w:rsidRPr="00AB273D" w:rsidRDefault="00E67123">
      <w:pPr>
        <w:pStyle w:val="FootnoteText"/>
        <w:rPr>
          <w:rFonts w:ascii="Cambria" w:hAnsi="Cambria"/>
          <w:sz w:val="20"/>
          <w:szCs w:val="20"/>
        </w:rPr>
      </w:pPr>
      <w:r w:rsidRPr="00AB273D">
        <w:rPr>
          <w:rStyle w:val="FootnoteReference"/>
          <w:rFonts w:ascii="Cambria" w:hAnsi="Cambria"/>
          <w:sz w:val="20"/>
          <w:szCs w:val="20"/>
        </w:rPr>
        <w:footnoteRef/>
      </w:r>
      <w:r w:rsidRPr="00AB273D">
        <w:rPr>
          <w:rFonts w:ascii="Cambria" w:hAnsi="Cambria"/>
          <w:sz w:val="20"/>
          <w:szCs w:val="20"/>
        </w:rPr>
        <w:t xml:space="preserve"> </w:t>
      </w:r>
      <w:r w:rsidR="00AB273D" w:rsidRPr="00AB273D">
        <w:rPr>
          <w:rFonts w:ascii="Cambria" w:hAnsi="Cambria"/>
          <w:sz w:val="20"/>
          <w:szCs w:val="20"/>
        </w:rPr>
        <w:t>Clause</w:t>
      </w:r>
      <w:r w:rsidRPr="00AB273D">
        <w:rPr>
          <w:rFonts w:ascii="Cambria" w:hAnsi="Cambria"/>
          <w:sz w:val="20"/>
          <w:szCs w:val="20"/>
        </w:rPr>
        <w:t xml:space="preserve"> 3 of the </w:t>
      </w:r>
      <w:r w:rsidRPr="00AB273D">
        <w:rPr>
          <w:rFonts w:ascii="Cambria" w:hAnsi="Cambria"/>
          <w:i/>
          <w:iCs/>
          <w:color w:val="000000" w:themeColor="text1"/>
          <w:sz w:val="20"/>
          <w:szCs w:val="20"/>
        </w:rPr>
        <w:t xml:space="preserve">Bail Bill 2024 </w:t>
      </w:r>
      <w:r w:rsidRPr="00AB273D">
        <w:rPr>
          <w:rFonts w:ascii="Cambria" w:hAnsi="Cambria"/>
          <w:color w:val="000000" w:themeColor="text1"/>
          <w:sz w:val="20"/>
          <w:szCs w:val="20"/>
        </w:rPr>
        <w:t>(Tas).</w:t>
      </w:r>
      <w:r w:rsidRPr="00AB273D">
        <w:rPr>
          <w:rFonts w:ascii="Cambria" w:hAnsi="Cambria"/>
          <w:i/>
          <w:iCs/>
          <w:color w:val="000000" w:themeColor="text1"/>
          <w:sz w:val="20"/>
          <w:szCs w:val="20"/>
        </w:rPr>
        <w:t xml:space="preserve"> </w:t>
      </w:r>
      <w:r w:rsidRPr="00AB273D">
        <w:rPr>
          <w:rFonts w:ascii="Cambria" w:hAnsi="Cambria"/>
          <w:sz w:val="20"/>
          <w:szCs w:val="20"/>
        </w:rPr>
        <w:t xml:space="preserve"> </w:t>
      </w:r>
    </w:p>
  </w:footnote>
  <w:footnote w:id="3">
    <w:p w:rsidR="005E129E" w:rsidRPr="00E656AC" w:rsidRDefault="005E129E">
      <w:pPr>
        <w:pStyle w:val="FootnoteText"/>
        <w:rPr>
          <w:sz w:val="20"/>
          <w:szCs w:val="20"/>
        </w:rPr>
      </w:pPr>
      <w:r w:rsidRPr="00AB273D">
        <w:rPr>
          <w:rStyle w:val="FootnoteReference"/>
          <w:rFonts w:ascii="Cambria" w:hAnsi="Cambria"/>
          <w:sz w:val="20"/>
          <w:szCs w:val="20"/>
        </w:rPr>
        <w:footnoteRef/>
      </w:r>
      <w:r w:rsidRPr="00AB273D">
        <w:rPr>
          <w:rFonts w:ascii="Cambria" w:hAnsi="Cambria"/>
          <w:sz w:val="20"/>
          <w:szCs w:val="20"/>
        </w:rPr>
        <w:t xml:space="preserve"> Article 14(2) of the </w:t>
      </w:r>
      <w:r w:rsidRPr="00AB273D">
        <w:rPr>
          <w:rFonts w:ascii="Cambria" w:hAnsi="Cambria"/>
          <w:i/>
          <w:iCs/>
          <w:sz w:val="20"/>
          <w:szCs w:val="20"/>
        </w:rPr>
        <w:t>International Covenant on Civil and Political Rights</w:t>
      </w:r>
      <w:r w:rsidRPr="00AB273D">
        <w:rPr>
          <w:rFonts w:ascii="Cambria" w:hAnsi="Cambria"/>
          <w:sz w:val="20"/>
          <w:szCs w:val="20"/>
        </w:rPr>
        <w:t>.</w:t>
      </w:r>
    </w:p>
  </w:footnote>
  <w:footnote w:id="4">
    <w:p w:rsidR="005E129E" w:rsidRPr="009F0DD1" w:rsidRDefault="005E129E">
      <w:pPr>
        <w:pStyle w:val="FootnoteText"/>
        <w:rPr>
          <w:rFonts w:ascii="Cambria" w:hAnsi="Cambria"/>
          <w:sz w:val="20"/>
          <w:szCs w:val="20"/>
        </w:rPr>
      </w:pPr>
      <w:r w:rsidRPr="009F0DD1">
        <w:rPr>
          <w:rStyle w:val="FootnoteReference"/>
          <w:rFonts w:ascii="Cambria" w:hAnsi="Cambria"/>
          <w:sz w:val="20"/>
          <w:szCs w:val="20"/>
        </w:rPr>
        <w:footnoteRef/>
      </w:r>
      <w:r w:rsidRPr="009F0DD1">
        <w:rPr>
          <w:rFonts w:ascii="Cambria" w:hAnsi="Cambria"/>
          <w:sz w:val="20"/>
          <w:szCs w:val="20"/>
        </w:rPr>
        <w:t xml:space="preserve"> (1964) 14 Tas R 12. </w:t>
      </w:r>
    </w:p>
  </w:footnote>
  <w:footnote w:id="5">
    <w:p w:rsidR="005E129E" w:rsidRPr="009F0DD1" w:rsidRDefault="005E129E">
      <w:pPr>
        <w:pStyle w:val="FootnoteText"/>
        <w:rPr>
          <w:rFonts w:ascii="Cambria" w:hAnsi="Cambria"/>
          <w:sz w:val="20"/>
          <w:szCs w:val="20"/>
        </w:rPr>
      </w:pPr>
      <w:r w:rsidRPr="009F0DD1">
        <w:rPr>
          <w:rStyle w:val="FootnoteReference"/>
          <w:rFonts w:ascii="Cambria" w:hAnsi="Cambria"/>
          <w:sz w:val="20"/>
          <w:szCs w:val="20"/>
        </w:rPr>
        <w:footnoteRef/>
      </w:r>
      <w:r w:rsidRPr="009F0DD1">
        <w:rPr>
          <w:rFonts w:ascii="Cambria" w:hAnsi="Cambria"/>
          <w:sz w:val="20"/>
          <w:szCs w:val="20"/>
        </w:rPr>
        <w:t xml:space="preserve"> (1964) 14 Tas R 12. </w:t>
      </w:r>
    </w:p>
  </w:footnote>
  <w:footnote w:id="6">
    <w:p w:rsidR="005E129E" w:rsidRPr="009F0DD1" w:rsidRDefault="005E129E">
      <w:pPr>
        <w:pStyle w:val="FootnoteText"/>
        <w:rPr>
          <w:rFonts w:ascii="Cambria" w:hAnsi="Cambria"/>
          <w:sz w:val="20"/>
          <w:szCs w:val="20"/>
        </w:rPr>
      </w:pPr>
      <w:r w:rsidRPr="009F0DD1">
        <w:rPr>
          <w:rStyle w:val="FootnoteReference"/>
          <w:rFonts w:ascii="Cambria" w:hAnsi="Cambria"/>
          <w:sz w:val="20"/>
          <w:szCs w:val="20"/>
        </w:rPr>
        <w:footnoteRef/>
      </w:r>
      <w:r w:rsidRPr="009F0DD1">
        <w:rPr>
          <w:rFonts w:ascii="Cambria" w:hAnsi="Cambria"/>
          <w:sz w:val="20"/>
          <w:szCs w:val="20"/>
        </w:rPr>
        <w:t xml:space="preserve"> </w:t>
      </w:r>
      <w:r w:rsidR="00E656AC" w:rsidRPr="009F0DD1">
        <w:rPr>
          <w:rFonts w:ascii="Cambria" w:hAnsi="Cambria"/>
          <w:sz w:val="20"/>
          <w:szCs w:val="20"/>
        </w:rPr>
        <w:t>(1964) 14 Tas R 12 at paras. [8]-[19] per Crawford J.</w:t>
      </w:r>
    </w:p>
  </w:footnote>
  <w:footnote w:id="7">
    <w:p w:rsidR="006A56F5" w:rsidRDefault="006A56F5" w:rsidP="006A56F5">
      <w:pPr>
        <w:pStyle w:val="FootnoteText"/>
      </w:pPr>
      <w:r>
        <w:rPr>
          <w:rStyle w:val="FootnoteReference"/>
        </w:rPr>
        <w:footnoteRef/>
      </w:r>
      <w:r>
        <w:t xml:space="preserve"> Tasmania Law Reform Institute, Offending while on Bail Research Paper No 1 May 2004 at 6.  </w:t>
      </w:r>
    </w:p>
  </w:footnote>
  <w:footnote w:id="8">
    <w:p w:rsidR="00AB273D" w:rsidRPr="009F0DD1" w:rsidRDefault="00AB273D">
      <w:pPr>
        <w:pStyle w:val="FootnoteText"/>
        <w:rPr>
          <w:rFonts w:ascii="Cambria" w:hAnsi="Cambria"/>
          <w:sz w:val="20"/>
          <w:szCs w:val="20"/>
        </w:rPr>
      </w:pPr>
      <w:r w:rsidRPr="009F0DD1">
        <w:rPr>
          <w:rStyle w:val="FootnoteReference"/>
          <w:rFonts w:ascii="Cambria" w:hAnsi="Cambria"/>
          <w:sz w:val="20"/>
          <w:szCs w:val="20"/>
        </w:rPr>
        <w:footnoteRef/>
      </w:r>
      <w:r w:rsidRPr="009F0DD1">
        <w:rPr>
          <w:rFonts w:ascii="Cambria" w:hAnsi="Cambria"/>
          <w:sz w:val="20"/>
          <w:szCs w:val="20"/>
        </w:rPr>
        <w:t xml:space="preserve"> Clause 5(1)(iii) of the Bill. </w:t>
      </w:r>
    </w:p>
  </w:footnote>
  <w:footnote w:id="9">
    <w:p w:rsidR="00AB273D" w:rsidRPr="009F0DD1" w:rsidRDefault="00AB273D">
      <w:pPr>
        <w:pStyle w:val="FootnoteText"/>
        <w:rPr>
          <w:rFonts w:ascii="Cambria" w:hAnsi="Cambria"/>
          <w:sz w:val="20"/>
          <w:szCs w:val="20"/>
        </w:rPr>
      </w:pPr>
      <w:r w:rsidRPr="009F0DD1">
        <w:rPr>
          <w:rStyle w:val="FootnoteReference"/>
          <w:rFonts w:ascii="Cambria" w:hAnsi="Cambria"/>
          <w:sz w:val="20"/>
          <w:szCs w:val="20"/>
        </w:rPr>
        <w:footnoteRef/>
      </w:r>
      <w:r w:rsidRPr="009F0DD1">
        <w:rPr>
          <w:rFonts w:ascii="Cambria" w:hAnsi="Cambria"/>
          <w:sz w:val="20"/>
          <w:szCs w:val="20"/>
        </w:rPr>
        <w:t xml:space="preserve"> Section 19(2)(b) of the </w:t>
      </w:r>
      <w:r w:rsidRPr="009F0DD1">
        <w:rPr>
          <w:rFonts w:ascii="Cambria" w:hAnsi="Cambria"/>
          <w:i/>
          <w:iCs/>
          <w:sz w:val="20"/>
          <w:szCs w:val="20"/>
        </w:rPr>
        <w:t>Bail Act 2013</w:t>
      </w:r>
      <w:r w:rsidRPr="009F0DD1">
        <w:rPr>
          <w:rFonts w:ascii="Cambria" w:hAnsi="Cambria"/>
          <w:sz w:val="20"/>
          <w:szCs w:val="20"/>
        </w:rPr>
        <w:t xml:space="preserve"> (NSW). Also see section XXX </w:t>
      </w:r>
    </w:p>
  </w:footnote>
  <w:footnote w:id="10">
    <w:p w:rsidR="00600A82" w:rsidRPr="009F0DD1" w:rsidRDefault="00600A82" w:rsidP="00600A82">
      <w:pPr>
        <w:pStyle w:val="FootnoteText"/>
        <w:rPr>
          <w:rFonts w:ascii="Cambria" w:hAnsi="Cambria"/>
          <w:sz w:val="20"/>
          <w:szCs w:val="20"/>
        </w:rPr>
      </w:pPr>
      <w:r w:rsidRPr="009F0DD1">
        <w:rPr>
          <w:rStyle w:val="FootnoteReference"/>
          <w:rFonts w:ascii="Cambria" w:hAnsi="Cambria"/>
          <w:sz w:val="20"/>
          <w:szCs w:val="20"/>
        </w:rPr>
        <w:footnoteRef/>
      </w:r>
      <w:r w:rsidRPr="009F0DD1">
        <w:rPr>
          <w:rFonts w:ascii="Cambria" w:hAnsi="Cambria"/>
          <w:sz w:val="20"/>
          <w:szCs w:val="20"/>
        </w:rPr>
        <w:t xml:space="preserve"> </w:t>
      </w:r>
      <w:r w:rsidRPr="00C9750B">
        <w:rPr>
          <w:rFonts w:ascii="Cambria" w:hAnsi="Cambria"/>
          <w:color w:val="000000" w:themeColor="text1"/>
          <w:sz w:val="20"/>
          <w:szCs w:val="20"/>
        </w:rPr>
        <w:t>Section 4E(1)(a)(</w:t>
      </w:r>
      <w:proofErr w:type="spellStart"/>
      <w:r w:rsidRPr="00C9750B">
        <w:rPr>
          <w:rFonts w:ascii="Cambria" w:hAnsi="Cambria"/>
          <w:color w:val="000000" w:themeColor="text1"/>
          <w:sz w:val="20"/>
          <w:szCs w:val="20"/>
        </w:rPr>
        <w:t>iaa</w:t>
      </w:r>
      <w:proofErr w:type="spellEnd"/>
      <w:r w:rsidRPr="00C9750B">
        <w:rPr>
          <w:rFonts w:ascii="Cambria" w:hAnsi="Cambria"/>
          <w:color w:val="000000" w:themeColor="text1"/>
          <w:sz w:val="20"/>
          <w:szCs w:val="20"/>
        </w:rPr>
        <w:t xml:space="preserve">) of the </w:t>
      </w:r>
      <w:r w:rsidRPr="00C9750B">
        <w:rPr>
          <w:rFonts w:ascii="Cambria" w:hAnsi="Cambria"/>
          <w:i/>
          <w:iCs/>
          <w:color w:val="000000" w:themeColor="text1"/>
          <w:sz w:val="20"/>
          <w:szCs w:val="20"/>
        </w:rPr>
        <w:t>Bail Act 1977</w:t>
      </w:r>
      <w:r w:rsidRPr="00C9750B">
        <w:rPr>
          <w:rFonts w:ascii="Cambria" w:hAnsi="Cambria"/>
          <w:color w:val="000000" w:themeColor="text1"/>
          <w:sz w:val="20"/>
          <w:szCs w:val="20"/>
        </w:rPr>
        <w:t xml:space="preserve"> (Vic). </w:t>
      </w:r>
    </w:p>
  </w:footnote>
  <w:footnote w:id="11">
    <w:p w:rsidR="009F0DD1" w:rsidRPr="00770CFE" w:rsidRDefault="009F0DD1">
      <w:pPr>
        <w:pStyle w:val="FootnoteText"/>
        <w:rPr>
          <w:rFonts w:ascii="Cambria" w:hAnsi="Cambria"/>
          <w:sz w:val="20"/>
          <w:szCs w:val="20"/>
        </w:rPr>
      </w:pPr>
      <w:r w:rsidRPr="00770CFE">
        <w:rPr>
          <w:rStyle w:val="FootnoteReference"/>
          <w:rFonts w:ascii="Cambria" w:hAnsi="Cambria"/>
          <w:sz w:val="20"/>
          <w:szCs w:val="20"/>
        </w:rPr>
        <w:footnoteRef/>
      </w:r>
      <w:r w:rsidRPr="00770CFE">
        <w:rPr>
          <w:rFonts w:ascii="Cambria" w:hAnsi="Cambria"/>
          <w:sz w:val="20"/>
          <w:szCs w:val="20"/>
        </w:rPr>
        <w:t xml:space="preserve"> </w:t>
      </w:r>
      <w:r w:rsidRPr="00770CFE">
        <w:rPr>
          <w:rFonts w:ascii="Cambria" w:hAnsi="Cambria"/>
          <w:sz w:val="20"/>
          <w:szCs w:val="20"/>
        </w:rPr>
        <w:t>Clause 5(</w:t>
      </w:r>
      <w:r w:rsidRPr="00770CFE">
        <w:rPr>
          <w:rFonts w:ascii="Cambria" w:hAnsi="Cambria"/>
          <w:sz w:val="20"/>
          <w:szCs w:val="20"/>
        </w:rPr>
        <w:t>2</w:t>
      </w:r>
      <w:r w:rsidRPr="00770CFE">
        <w:rPr>
          <w:rFonts w:ascii="Cambria" w:hAnsi="Cambria"/>
          <w:sz w:val="20"/>
          <w:szCs w:val="20"/>
        </w:rPr>
        <w:t>)(</w:t>
      </w:r>
      <w:r w:rsidRPr="00770CFE">
        <w:rPr>
          <w:rFonts w:ascii="Cambria" w:hAnsi="Cambria"/>
          <w:sz w:val="20"/>
          <w:szCs w:val="20"/>
        </w:rPr>
        <w:t>d</w:t>
      </w:r>
      <w:r w:rsidRPr="00770CFE">
        <w:rPr>
          <w:rFonts w:ascii="Cambria" w:hAnsi="Cambria"/>
          <w:sz w:val="20"/>
          <w:szCs w:val="20"/>
        </w:rPr>
        <w:t>)</w:t>
      </w:r>
      <w:r w:rsidRPr="00770CFE">
        <w:rPr>
          <w:rFonts w:ascii="Cambria" w:hAnsi="Cambria"/>
          <w:sz w:val="20"/>
          <w:szCs w:val="20"/>
        </w:rPr>
        <w:t>(m)</w:t>
      </w:r>
      <w:r w:rsidRPr="00770CFE">
        <w:rPr>
          <w:rFonts w:ascii="Cambria" w:hAnsi="Cambria"/>
          <w:sz w:val="20"/>
          <w:szCs w:val="20"/>
        </w:rPr>
        <w:t xml:space="preserve"> of the Bill.</w:t>
      </w:r>
    </w:p>
  </w:footnote>
  <w:footnote w:id="12">
    <w:p w:rsidR="00600A82" w:rsidRPr="00770CFE" w:rsidRDefault="00600A82" w:rsidP="00600A82">
      <w:pPr>
        <w:pStyle w:val="FootnoteText"/>
        <w:rPr>
          <w:rFonts w:ascii="Cambria" w:hAnsi="Cambria"/>
          <w:sz w:val="20"/>
          <w:szCs w:val="20"/>
        </w:rPr>
      </w:pPr>
      <w:r w:rsidRPr="00770CFE">
        <w:rPr>
          <w:rStyle w:val="FootnoteReference"/>
          <w:rFonts w:ascii="Cambria" w:hAnsi="Cambria"/>
          <w:sz w:val="20"/>
          <w:szCs w:val="20"/>
        </w:rPr>
        <w:footnoteRef/>
      </w:r>
      <w:r w:rsidRPr="00770CFE">
        <w:rPr>
          <w:rFonts w:ascii="Cambria" w:hAnsi="Cambria"/>
          <w:sz w:val="20"/>
          <w:szCs w:val="20"/>
        </w:rPr>
        <w:t xml:space="preserve"> Australian Law Reform Commission, </w:t>
      </w:r>
      <w:r w:rsidRPr="00770CFE">
        <w:rPr>
          <w:rFonts w:ascii="Cambria" w:hAnsi="Cambria"/>
          <w:i/>
          <w:iCs/>
          <w:sz w:val="20"/>
          <w:szCs w:val="20"/>
        </w:rPr>
        <w:t xml:space="preserve">Incarceration Rates of Aboriginal and Torres Strait Islander Peoples -  Discussion Paper </w:t>
      </w:r>
      <w:r w:rsidRPr="00770CFE">
        <w:rPr>
          <w:rFonts w:ascii="Cambria" w:hAnsi="Cambria"/>
          <w:sz w:val="20"/>
          <w:szCs w:val="20"/>
        </w:rPr>
        <w:t xml:space="preserve">(DP 84: July 2017). As found at  </w:t>
      </w:r>
      <w:hyperlink r:id="rId1" w:history="1">
        <w:r w:rsidRPr="00770CFE">
          <w:rPr>
            <w:rStyle w:val="Hyperlink"/>
            <w:rFonts w:ascii="Cambria" w:hAnsi="Cambria"/>
            <w:sz w:val="20"/>
            <w:szCs w:val="20"/>
          </w:rPr>
          <w:t>https://www.alrc.gov.au/publication/incarceration-rates-of-aboriginal-and-torres-strait-islander-peoples-dp-84/2-bail-and-the-remand-population/background-28/</w:t>
        </w:r>
      </w:hyperlink>
      <w:r w:rsidRPr="00770CFE">
        <w:rPr>
          <w:rFonts w:ascii="Cambria" w:hAnsi="Cambria"/>
          <w:sz w:val="20"/>
          <w:szCs w:val="20"/>
        </w:rPr>
        <w:t xml:space="preserve"> (Accessed 18 March 2021). </w:t>
      </w:r>
    </w:p>
  </w:footnote>
  <w:footnote w:id="13">
    <w:p w:rsidR="00600A82" w:rsidRPr="00770CFE" w:rsidRDefault="00600A82" w:rsidP="00600A82">
      <w:pPr>
        <w:pStyle w:val="FootnoteText"/>
        <w:rPr>
          <w:rFonts w:ascii="Cambria" w:hAnsi="Cambria"/>
          <w:sz w:val="20"/>
          <w:szCs w:val="20"/>
        </w:rPr>
      </w:pPr>
      <w:r w:rsidRPr="00770CFE">
        <w:rPr>
          <w:rStyle w:val="FootnoteReference"/>
          <w:rFonts w:ascii="Cambria" w:hAnsi="Cambria"/>
          <w:sz w:val="20"/>
          <w:szCs w:val="20"/>
        </w:rPr>
        <w:footnoteRef/>
      </w:r>
      <w:r w:rsidRPr="00770CFE">
        <w:rPr>
          <w:rFonts w:ascii="Cambria" w:hAnsi="Cambria"/>
          <w:sz w:val="20"/>
          <w:szCs w:val="20"/>
        </w:rPr>
        <w:t xml:space="preserve"> Commonwealth Government, Royal Commission into Aboriginal Deaths in Custody, </w:t>
      </w:r>
      <w:r w:rsidRPr="00770CFE">
        <w:rPr>
          <w:rFonts w:ascii="Cambria" w:hAnsi="Cambria"/>
          <w:i/>
          <w:iCs/>
          <w:sz w:val="20"/>
          <w:szCs w:val="20"/>
        </w:rPr>
        <w:t>National Report</w:t>
      </w:r>
      <w:r w:rsidRPr="00770CFE">
        <w:rPr>
          <w:rFonts w:ascii="Cambria" w:hAnsi="Cambria"/>
          <w:sz w:val="20"/>
          <w:szCs w:val="20"/>
        </w:rPr>
        <w:t xml:space="preserve"> (1991) Volume 3 at 51. </w:t>
      </w:r>
    </w:p>
  </w:footnote>
  <w:footnote w:id="14">
    <w:p w:rsidR="00770CFE" w:rsidRPr="00770CFE" w:rsidRDefault="00770CFE">
      <w:pPr>
        <w:pStyle w:val="FootnoteText"/>
        <w:rPr>
          <w:rFonts w:ascii="Cambria" w:hAnsi="Cambria"/>
          <w:sz w:val="20"/>
          <w:szCs w:val="20"/>
        </w:rPr>
      </w:pPr>
      <w:r w:rsidRPr="00770CFE">
        <w:rPr>
          <w:rStyle w:val="FootnoteReference"/>
          <w:rFonts w:ascii="Cambria" w:hAnsi="Cambria"/>
          <w:sz w:val="20"/>
          <w:szCs w:val="20"/>
        </w:rPr>
        <w:footnoteRef/>
      </w:r>
      <w:r w:rsidRPr="00770CFE">
        <w:rPr>
          <w:rFonts w:ascii="Cambria" w:hAnsi="Cambria"/>
          <w:sz w:val="20"/>
          <w:szCs w:val="20"/>
        </w:rPr>
        <w:t xml:space="preserve"> </w:t>
      </w:r>
      <w:r w:rsidRPr="00770CFE">
        <w:rPr>
          <w:rFonts w:ascii="Cambria" w:hAnsi="Cambria"/>
          <w:iCs/>
          <w:color w:val="000000" w:themeColor="text1"/>
          <w:sz w:val="20"/>
          <w:szCs w:val="20"/>
        </w:rPr>
        <w:t>A</w:t>
      </w:r>
      <w:r w:rsidRPr="00770CFE">
        <w:rPr>
          <w:rFonts w:ascii="Cambria" w:hAnsi="Cambria"/>
          <w:iCs/>
          <w:color w:val="000000" w:themeColor="text1"/>
          <w:sz w:val="20"/>
          <w:szCs w:val="20"/>
        </w:rPr>
        <w:t xml:space="preserve">ustralian Bureau of Statistics, </w:t>
      </w:r>
      <w:r w:rsidRPr="00770CFE">
        <w:rPr>
          <w:rFonts w:ascii="Cambria" w:hAnsi="Cambria"/>
          <w:i/>
          <w:color w:val="000000" w:themeColor="text1"/>
          <w:sz w:val="20"/>
          <w:szCs w:val="20"/>
        </w:rPr>
        <w:t>Prisoners in Australia</w:t>
      </w:r>
      <w:r w:rsidRPr="00770CFE">
        <w:rPr>
          <w:rFonts w:ascii="Cambria" w:hAnsi="Cambria"/>
          <w:iCs/>
          <w:color w:val="000000" w:themeColor="text1"/>
          <w:sz w:val="20"/>
          <w:szCs w:val="20"/>
        </w:rPr>
        <w:t xml:space="preserve">, Table 15. Also see Tasmania 2021 Census All persons </w:t>
      </w:r>
      <w:proofErr w:type="spellStart"/>
      <w:r w:rsidRPr="00770CFE">
        <w:rPr>
          <w:rFonts w:ascii="Cambria" w:hAnsi="Cambria"/>
          <w:iCs/>
          <w:color w:val="000000" w:themeColor="text1"/>
          <w:sz w:val="20"/>
          <w:szCs w:val="20"/>
        </w:rPr>
        <w:t>QuickStats</w:t>
      </w:r>
      <w:proofErr w:type="spellEnd"/>
      <w:r w:rsidRPr="00770CFE">
        <w:rPr>
          <w:rFonts w:ascii="Cambria" w:hAnsi="Cambria"/>
          <w:iCs/>
          <w:color w:val="000000" w:themeColor="text1"/>
          <w:sz w:val="20"/>
          <w:szCs w:val="20"/>
        </w:rPr>
        <w:t>.</w:t>
      </w:r>
    </w:p>
  </w:footnote>
  <w:footnote w:id="15">
    <w:p w:rsidR="00770CFE" w:rsidRPr="00DB7158" w:rsidRDefault="00770CFE" w:rsidP="00770CFE">
      <w:pPr>
        <w:pStyle w:val="FootnoteText"/>
        <w:rPr>
          <w:rFonts w:ascii="Cambria" w:hAnsi="Cambria"/>
          <w:sz w:val="20"/>
          <w:szCs w:val="20"/>
        </w:rPr>
      </w:pPr>
      <w:r w:rsidRPr="00DB7158">
        <w:rPr>
          <w:rStyle w:val="FootnoteReference"/>
          <w:rFonts w:ascii="Cambria" w:hAnsi="Cambria"/>
        </w:rPr>
        <w:footnoteRef/>
      </w:r>
      <w:r>
        <w:rPr>
          <w:rFonts w:ascii="Cambria" w:hAnsi="Cambria"/>
        </w:rPr>
        <w:t xml:space="preserve"> </w:t>
      </w:r>
      <w:r w:rsidRPr="003E033C">
        <w:rPr>
          <w:rFonts w:ascii="Cambria" w:hAnsi="Cambria"/>
          <w:sz w:val="20"/>
          <w:szCs w:val="20"/>
        </w:rPr>
        <w:t xml:space="preserve">Victorian Law Reform Institute, Review of the Bail Act – Final Report (2007) at 84. As found at  </w:t>
      </w:r>
      <w:hyperlink r:id="rId2" w:history="1">
        <w:r w:rsidRPr="003E033C">
          <w:rPr>
            <w:rStyle w:val="Hyperlink"/>
            <w:rFonts w:ascii="Cambria" w:hAnsi="Cambria"/>
            <w:sz w:val="20"/>
            <w:szCs w:val="20"/>
          </w:rPr>
          <w:t>https://www.lawreform.vic.gov.au/sites/default/files/VLRC_Review_of_the_Bail_Act_Final_Report.pdf</w:t>
        </w:r>
      </w:hyperlink>
      <w:r w:rsidRPr="003E033C">
        <w:rPr>
          <w:rFonts w:ascii="Cambria" w:hAnsi="Cambria"/>
          <w:sz w:val="20"/>
          <w:szCs w:val="20"/>
        </w:rPr>
        <w:t xml:space="preserve"> (Accessed 18 March 2021).</w:t>
      </w:r>
      <w:r>
        <w:rPr>
          <w:rFonts w:ascii="Cambria" w:hAnsi="Cambria"/>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10B0"/>
    <w:multiLevelType w:val="hybridMultilevel"/>
    <w:tmpl w:val="8F9E4A90"/>
    <w:lvl w:ilvl="0" w:tplc="F5DECEB4">
      <w:start w:val="34"/>
      <w:numFmt w:val="bullet"/>
      <w:lvlText w:val="-"/>
      <w:lvlJc w:val="left"/>
      <w:pPr>
        <w:ind w:left="720" w:hanging="360"/>
      </w:pPr>
      <w:rPr>
        <w:rFonts w:ascii="Cambria" w:eastAsia="Times New Roman"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31CCE"/>
    <w:multiLevelType w:val="hybridMultilevel"/>
    <w:tmpl w:val="3EBC35E6"/>
    <w:lvl w:ilvl="0" w:tplc="24B6B85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343944"/>
    <w:multiLevelType w:val="hybridMultilevel"/>
    <w:tmpl w:val="EB9090CE"/>
    <w:lvl w:ilvl="0" w:tplc="24B2060E">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CA421F"/>
    <w:multiLevelType w:val="hybridMultilevel"/>
    <w:tmpl w:val="07DCC6A2"/>
    <w:lvl w:ilvl="0" w:tplc="7C2ACD50">
      <w:start w:val="6"/>
      <w:numFmt w:val="bullet"/>
      <w:lvlText w:val="-"/>
      <w:lvlJc w:val="left"/>
      <w:pPr>
        <w:ind w:left="720" w:hanging="360"/>
      </w:pPr>
      <w:rPr>
        <w:rFonts w:ascii="Cambria" w:eastAsia="Times New Roman" w:hAnsi="Cambria"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13051"/>
    <w:multiLevelType w:val="hybridMultilevel"/>
    <w:tmpl w:val="C0AE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B5B2B"/>
    <w:multiLevelType w:val="hybridMultilevel"/>
    <w:tmpl w:val="61383202"/>
    <w:lvl w:ilvl="0" w:tplc="6CAA1906">
      <w:start w:val="6"/>
      <w:numFmt w:val="bullet"/>
      <w:lvlText w:val="-"/>
      <w:lvlJc w:val="left"/>
      <w:pPr>
        <w:ind w:left="720" w:hanging="360"/>
      </w:pPr>
      <w:rPr>
        <w:rFonts w:ascii="Cambria" w:eastAsia="Times New Roman"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73218D"/>
    <w:multiLevelType w:val="hybridMultilevel"/>
    <w:tmpl w:val="243A0E00"/>
    <w:lvl w:ilvl="0" w:tplc="7956528C">
      <w:start w:val="34"/>
      <w:numFmt w:val="bullet"/>
      <w:lvlText w:val="-"/>
      <w:lvlJc w:val="left"/>
      <w:pPr>
        <w:ind w:left="720" w:hanging="360"/>
      </w:pPr>
      <w:rPr>
        <w:rFonts w:ascii="Cambria" w:eastAsia="Times New Roman"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5D6BDE"/>
    <w:multiLevelType w:val="hybridMultilevel"/>
    <w:tmpl w:val="CA42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45BBB"/>
    <w:multiLevelType w:val="hybridMultilevel"/>
    <w:tmpl w:val="3BCC75DC"/>
    <w:lvl w:ilvl="0" w:tplc="CD6AFA06">
      <w:start w:val="6"/>
      <w:numFmt w:val="bullet"/>
      <w:lvlText w:val="-"/>
      <w:lvlJc w:val="left"/>
      <w:pPr>
        <w:ind w:left="720" w:hanging="360"/>
      </w:pPr>
      <w:rPr>
        <w:rFonts w:ascii="Cambria" w:eastAsia="Times New Roman" w:hAnsi="Cambria" w:cstheme="minorBidi"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C1147"/>
    <w:multiLevelType w:val="hybridMultilevel"/>
    <w:tmpl w:val="43FEF7FA"/>
    <w:lvl w:ilvl="0" w:tplc="AD507C68">
      <w:start w:val="2"/>
      <w:numFmt w:val="bullet"/>
      <w:lvlText w:val="-"/>
      <w:lvlJc w:val="left"/>
      <w:pPr>
        <w:ind w:left="720" w:hanging="360"/>
      </w:pPr>
      <w:rPr>
        <w:rFonts w:ascii="Cambria" w:eastAsia="Times New Roman"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984987">
    <w:abstractNumId w:val="0"/>
  </w:num>
  <w:num w:numId="2" w16cid:durableId="2084796585">
    <w:abstractNumId w:val="6"/>
  </w:num>
  <w:num w:numId="3" w16cid:durableId="1475874918">
    <w:abstractNumId w:val="9"/>
  </w:num>
  <w:num w:numId="4" w16cid:durableId="1217356340">
    <w:abstractNumId w:val="4"/>
  </w:num>
  <w:num w:numId="5" w16cid:durableId="1989701195">
    <w:abstractNumId w:val="7"/>
  </w:num>
  <w:num w:numId="6" w16cid:durableId="1558785299">
    <w:abstractNumId w:val="3"/>
  </w:num>
  <w:num w:numId="7" w16cid:durableId="1485463369">
    <w:abstractNumId w:val="5"/>
  </w:num>
  <w:num w:numId="8" w16cid:durableId="1943800398">
    <w:abstractNumId w:val="2"/>
  </w:num>
  <w:num w:numId="9" w16cid:durableId="917906661">
    <w:abstractNumId w:val="1"/>
  </w:num>
  <w:num w:numId="10" w16cid:durableId="6094383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C8"/>
    <w:rsid w:val="00024572"/>
    <w:rsid w:val="000E4CF0"/>
    <w:rsid w:val="00162AC8"/>
    <w:rsid w:val="001C68C6"/>
    <w:rsid w:val="00215FCE"/>
    <w:rsid w:val="00267A59"/>
    <w:rsid w:val="003B6233"/>
    <w:rsid w:val="003C119B"/>
    <w:rsid w:val="004409EB"/>
    <w:rsid w:val="0047417D"/>
    <w:rsid w:val="00475471"/>
    <w:rsid w:val="004841C3"/>
    <w:rsid w:val="00542A98"/>
    <w:rsid w:val="005E129E"/>
    <w:rsid w:val="00600A82"/>
    <w:rsid w:val="006A56F5"/>
    <w:rsid w:val="006F2462"/>
    <w:rsid w:val="00721420"/>
    <w:rsid w:val="00770CFE"/>
    <w:rsid w:val="00770E88"/>
    <w:rsid w:val="007E582F"/>
    <w:rsid w:val="0089668D"/>
    <w:rsid w:val="008C7732"/>
    <w:rsid w:val="00997426"/>
    <w:rsid w:val="009F0DD1"/>
    <w:rsid w:val="00A2728C"/>
    <w:rsid w:val="00A977CB"/>
    <w:rsid w:val="00AB273D"/>
    <w:rsid w:val="00B852F0"/>
    <w:rsid w:val="00B96631"/>
    <w:rsid w:val="00C12293"/>
    <w:rsid w:val="00C83509"/>
    <w:rsid w:val="00C9750B"/>
    <w:rsid w:val="00CC1873"/>
    <w:rsid w:val="00E60191"/>
    <w:rsid w:val="00E656AC"/>
    <w:rsid w:val="00E67123"/>
    <w:rsid w:val="00F016A6"/>
    <w:rsid w:val="00F142A1"/>
    <w:rsid w:val="00F7219E"/>
    <w:rsid w:val="00F72DF6"/>
    <w:rsid w:val="00F756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5950"/>
  <w15:chartTrackingRefBased/>
  <w15:docId w15:val="{FC32FB1A-46BC-D24A-AC9B-B274BE01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AC8"/>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Text,Footnote Text Char Char Char Char Char Char Char,Footnote Text Char Char Char Char Char Char,Footnote Text Char Char Char Char Char Char Char Char Char Char Char Char Char Char Char Char Char,single space Char,single space"/>
    <w:basedOn w:val="Normal"/>
    <w:link w:val="FootnoteTextChar"/>
    <w:uiPriority w:val="99"/>
    <w:unhideWhenUsed/>
    <w:rsid w:val="00162AC8"/>
  </w:style>
  <w:style w:type="character" w:customStyle="1" w:styleId="FootnoteTextChar">
    <w:name w:val="Footnote Text Char"/>
    <w:aliases w:val="Footnote Char,Text Char,Footnote Text Char Char Char Char Char Char Char Char,Footnote Text Char Char Char Char Char Char Char1,Footnote Text Char Char Char Char Char Char Char Char Char Char Char Char Char Char Char Char Char Char"/>
    <w:basedOn w:val="DefaultParagraphFont"/>
    <w:link w:val="FootnoteText"/>
    <w:uiPriority w:val="99"/>
    <w:rsid w:val="00162AC8"/>
    <w:rPr>
      <w:rFonts w:ascii="Times New Roman" w:eastAsia="Times New Roman" w:hAnsi="Times New Roman" w:cs="Times New Roman"/>
      <w:kern w:val="0"/>
      <w:lang w:eastAsia="en-GB"/>
      <w14:ligatures w14:val="none"/>
    </w:rPr>
  </w:style>
  <w:style w:type="character" w:styleId="FootnoteReference">
    <w:name w:val="footnote reference"/>
    <w:aliases w:val="Footnotes refss,Ref,de nota al pie"/>
    <w:basedOn w:val="DefaultParagraphFont"/>
    <w:uiPriority w:val="99"/>
    <w:unhideWhenUsed/>
    <w:qFormat/>
    <w:rsid w:val="00162AC8"/>
    <w:rPr>
      <w:vertAlign w:val="superscript"/>
    </w:rPr>
  </w:style>
  <w:style w:type="paragraph" w:styleId="Footer">
    <w:name w:val="footer"/>
    <w:basedOn w:val="Normal"/>
    <w:link w:val="FooterChar"/>
    <w:uiPriority w:val="99"/>
    <w:unhideWhenUsed/>
    <w:rsid w:val="00162AC8"/>
    <w:pPr>
      <w:tabs>
        <w:tab w:val="center" w:pos="4513"/>
        <w:tab w:val="right" w:pos="9026"/>
      </w:tabs>
    </w:pPr>
  </w:style>
  <w:style w:type="character" w:customStyle="1" w:styleId="FooterChar">
    <w:name w:val="Footer Char"/>
    <w:basedOn w:val="DefaultParagraphFont"/>
    <w:link w:val="Footer"/>
    <w:uiPriority w:val="99"/>
    <w:rsid w:val="00162AC8"/>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162AC8"/>
  </w:style>
  <w:style w:type="paragraph" w:styleId="NoSpacing">
    <w:name w:val="No Spacing"/>
    <w:uiPriority w:val="1"/>
    <w:qFormat/>
    <w:rsid w:val="00162AC8"/>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162AC8"/>
    <w:pPr>
      <w:ind w:left="720"/>
      <w:contextualSpacing/>
    </w:pPr>
  </w:style>
  <w:style w:type="character" w:styleId="Hyperlink">
    <w:name w:val="Hyperlink"/>
    <w:basedOn w:val="DefaultParagraphFont"/>
    <w:uiPriority w:val="99"/>
    <w:unhideWhenUsed/>
    <w:rsid w:val="00F142A1"/>
    <w:rPr>
      <w:color w:val="0563C1" w:themeColor="hyperlink"/>
      <w:u w:val="single"/>
    </w:rPr>
  </w:style>
  <w:style w:type="character" w:styleId="UnresolvedMention">
    <w:name w:val="Unresolved Mention"/>
    <w:basedOn w:val="DefaultParagraphFont"/>
    <w:uiPriority w:val="99"/>
    <w:semiHidden/>
    <w:unhideWhenUsed/>
    <w:rsid w:val="00F142A1"/>
    <w:rPr>
      <w:color w:val="605E5C"/>
      <w:shd w:val="clear" w:color="auto" w:fill="E1DFDD"/>
    </w:rPr>
  </w:style>
  <w:style w:type="paragraph" w:customStyle="1" w:styleId="commentcontentpara">
    <w:name w:val="commentcontentpara"/>
    <w:basedOn w:val="Normal"/>
    <w:rsid w:val="00600A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74433">
      <w:bodyDiv w:val="1"/>
      <w:marLeft w:val="0"/>
      <w:marRight w:val="0"/>
      <w:marTop w:val="0"/>
      <w:marBottom w:val="0"/>
      <w:divBdr>
        <w:top w:val="none" w:sz="0" w:space="0" w:color="auto"/>
        <w:left w:val="none" w:sz="0" w:space="0" w:color="auto"/>
        <w:bottom w:val="none" w:sz="0" w:space="0" w:color="auto"/>
        <w:right w:val="none" w:sz="0" w:space="0" w:color="auto"/>
      </w:divBdr>
      <w:divsChild>
        <w:div w:id="173421917">
          <w:marLeft w:val="0"/>
          <w:marRight w:val="0"/>
          <w:marTop w:val="0"/>
          <w:marBottom w:val="0"/>
          <w:divBdr>
            <w:top w:val="none" w:sz="0" w:space="0" w:color="auto"/>
            <w:left w:val="none" w:sz="0" w:space="0" w:color="auto"/>
            <w:bottom w:val="none" w:sz="0" w:space="0" w:color="auto"/>
            <w:right w:val="none" w:sz="0" w:space="0" w:color="auto"/>
          </w:divBdr>
        </w:div>
        <w:div w:id="1428884565">
          <w:marLeft w:val="0"/>
          <w:marRight w:val="3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https://www.lawreform.vic.gov.au/sites/default/files/VLRC_Review_of_the_Bail_Act_Final_Report.pdf" TargetMode="External"/><Relationship Id="rId1" Type="http://schemas.openxmlformats.org/officeDocument/2006/relationships/hyperlink" Target="https://www.alrc.gov.au/publication/incarceration-rates-of-aboriginal-and-torres-strait-islander-peoples-dp-84/2-bail-and-the-remand-population/background-28/"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a:t>Legal Status - Sentenced and Unsentenced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Sentenced</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Sheet1!$B$2:$B$11</c:f>
              <c:numCache>
                <c:formatCode>General</c:formatCode>
                <c:ptCount val="10"/>
                <c:pt idx="0">
                  <c:v>372</c:v>
                </c:pt>
                <c:pt idx="1">
                  <c:v>404</c:v>
                </c:pt>
                <c:pt idx="2">
                  <c:v>426</c:v>
                </c:pt>
                <c:pt idx="3">
                  <c:v>437</c:v>
                </c:pt>
                <c:pt idx="4">
                  <c:v>455</c:v>
                </c:pt>
                <c:pt idx="5">
                  <c:v>467</c:v>
                </c:pt>
                <c:pt idx="6">
                  <c:v>441</c:v>
                </c:pt>
                <c:pt idx="7">
                  <c:v>416</c:v>
                </c:pt>
                <c:pt idx="8">
                  <c:v>452</c:v>
                </c:pt>
                <c:pt idx="9">
                  <c:v>471</c:v>
                </c:pt>
              </c:numCache>
            </c:numRef>
          </c:val>
          <c:extLst>
            <c:ext xmlns:c16="http://schemas.microsoft.com/office/drawing/2014/chart" uri="{C3380CC4-5D6E-409C-BE32-E72D297353CC}">
              <c16:uniqueId val="{00000000-6843-A24F-B023-AC22274552D6}"/>
            </c:ext>
          </c:extLst>
        </c:ser>
        <c:ser>
          <c:idx val="1"/>
          <c:order val="1"/>
          <c:tx>
            <c:strRef>
              <c:f>Sheet1!$C$1</c:f>
              <c:strCache>
                <c:ptCount val="1"/>
                <c:pt idx="0">
                  <c:v>Unsentenced</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Sheet1!$C$2:$C$11</c:f>
              <c:numCache>
                <c:formatCode>General</c:formatCode>
                <c:ptCount val="10"/>
                <c:pt idx="0">
                  <c:v>143</c:v>
                </c:pt>
                <c:pt idx="1">
                  <c:v>155</c:v>
                </c:pt>
                <c:pt idx="2">
                  <c:v>171</c:v>
                </c:pt>
                <c:pt idx="3">
                  <c:v>177</c:v>
                </c:pt>
                <c:pt idx="4">
                  <c:v>231</c:v>
                </c:pt>
                <c:pt idx="5">
                  <c:v>194</c:v>
                </c:pt>
                <c:pt idx="6">
                  <c:v>195</c:v>
                </c:pt>
                <c:pt idx="7">
                  <c:v>207</c:v>
                </c:pt>
                <c:pt idx="8">
                  <c:v>291</c:v>
                </c:pt>
                <c:pt idx="9">
                  <c:v>329</c:v>
                </c:pt>
              </c:numCache>
            </c:numRef>
          </c:val>
          <c:extLst>
            <c:ext xmlns:c16="http://schemas.microsoft.com/office/drawing/2014/chart" uri="{C3380CC4-5D6E-409C-BE32-E72D297353CC}">
              <c16:uniqueId val="{00000001-6843-A24F-B023-AC22274552D6}"/>
            </c:ext>
          </c:extLst>
        </c:ser>
        <c:dLbls>
          <c:dLblPos val="inEnd"/>
          <c:showLegendKey val="0"/>
          <c:showVal val="1"/>
          <c:showCatName val="0"/>
          <c:showSerName val="0"/>
          <c:showPercent val="0"/>
          <c:showBubbleSize val="0"/>
        </c:dLbls>
        <c:gapWidth val="65"/>
        <c:axId val="1803644896"/>
        <c:axId val="1772632752"/>
      </c:barChart>
      <c:catAx>
        <c:axId val="18036448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772632752"/>
        <c:crosses val="autoZero"/>
        <c:auto val="1"/>
        <c:lblAlgn val="ctr"/>
        <c:lblOffset val="100"/>
        <c:noMultiLvlLbl val="0"/>
      </c:catAx>
      <c:valAx>
        <c:axId val="17726327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0364489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3F32-7342-8543-9D5A-26BAF612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2025-03-12T05:02:00Z</cp:lastPrinted>
  <dcterms:created xsi:type="dcterms:W3CDTF">2025-03-11T05:26:00Z</dcterms:created>
  <dcterms:modified xsi:type="dcterms:W3CDTF">2025-03-12T05:10:00Z</dcterms:modified>
</cp:coreProperties>
</file>