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69B" w:rsidRPr="00404F7A" w:rsidRDefault="00DC669B" w:rsidP="00DC669B">
      <w:pPr>
        <w:ind w:right="-205"/>
        <w:jc w:val="center"/>
        <w:rPr>
          <w:rFonts w:ascii="Cambria" w:hAnsi="Cambria"/>
          <w:color w:val="000000" w:themeColor="text1"/>
          <w:sz w:val="23"/>
          <w:szCs w:val="23"/>
        </w:rPr>
      </w:pPr>
      <w:r w:rsidRPr="00BC0D6B">
        <w:rPr>
          <w:noProof/>
          <w:sz w:val="20"/>
          <w:szCs w:val="20"/>
          <w:lang w:val="en-US"/>
        </w:rPr>
        <w:drawing>
          <wp:inline distT="0" distB="0" distL="0" distR="0" wp14:anchorId="5ED64154" wp14:editId="5C9528B4">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DC669B" w:rsidRPr="00174104" w:rsidRDefault="00DC669B" w:rsidP="00DC669B">
      <w:pPr>
        <w:ind w:right="-205"/>
        <w:jc w:val="both"/>
        <w:rPr>
          <w:rFonts w:ascii="Cambria" w:hAnsi="Cambria"/>
          <w:color w:val="000000" w:themeColor="text1"/>
        </w:rPr>
      </w:pPr>
    </w:p>
    <w:p w:rsidR="00DC669B" w:rsidRPr="00174104" w:rsidRDefault="00DC669B" w:rsidP="00DC669B">
      <w:pPr>
        <w:ind w:right="-205"/>
        <w:jc w:val="both"/>
        <w:rPr>
          <w:rFonts w:ascii="Cambria" w:hAnsi="Cambria"/>
          <w:color w:val="000000" w:themeColor="text1"/>
        </w:rPr>
      </w:pPr>
    </w:p>
    <w:p w:rsidR="00DC669B" w:rsidRPr="00174104" w:rsidRDefault="00E114DA" w:rsidP="00DC669B">
      <w:pPr>
        <w:ind w:right="-205"/>
        <w:jc w:val="both"/>
        <w:rPr>
          <w:rFonts w:ascii="Cambria" w:hAnsi="Cambria"/>
          <w:color w:val="000000" w:themeColor="text1"/>
        </w:rPr>
      </w:pPr>
      <w:r>
        <w:rPr>
          <w:rFonts w:ascii="Cambria" w:hAnsi="Cambria"/>
          <w:color w:val="000000" w:themeColor="text1"/>
        </w:rPr>
        <w:t>24 March</w:t>
      </w:r>
      <w:r w:rsidR="00DC669B" w:rsidRPr="00174104">
        <w:rPr>
          <w:rFonts w:ascii="Cambria" w:hAnsi="Cambria"/>
          <w:color w:val="000000" w:themeColor="text1"/>
        </w:rPr>
        <w:t xml:space="preserve"> 2025</w:t>
      </w:r>
    </w:p>
    <w:p w:rsidR="00DC669B" w:rsidRPr="00174104" w:rsidRDefault="00DC669B" w:rsidP="00DC669B">
      <w:pPr>
        <w:ind w:right="-347"/>
        <w:rPr>
          <w:rFonts w:ascii="Cambria" w:hAnsi="Cambria"/>
          <w:color w:val="000000" w:themeColor="text1"/>
        </w:rPr>
      </w:pPr>
    </w:p>
    <w:p w:rsidR="00DC669B" w:rsidRPr="00174104" w:rsidRDefault="00DC669B" w:rsidP="00DC669B">
      <w:pPr>
        <w:ind w:right="-347"/>
        <w:rPr>
          <w:rFonts w:ascii="Cambria" w:hAnsi="Cambria"/>
          <w:color w:val="000000" w:themeColor="text1"/>
        </w:rPr>
      </w:pPr>
      <w:r w:rsidRPr="00174104">
        <w:rPr>
          <w:rFonts w:ascii="Cambria" w:hAnsi="Cambria"/>
          <w:color w:val="000000" w:themeColor="text1"/>
        </w:rPr>
        <w:t>Department of Justice</w:t>
      </w:r>
    </w:p>
    <w:p w:rsidR="00DC669B" w:rsidRPr="00174104" w:rsidRDefault="00DC669B" w:rsidP="00DC669B">
      <w:pPr>
        <w:ind w:right="-347"/>
        <w:rPr>
          <w:rFonts w:ascii="Cambria" w:hAnsi="Cambria"/>
          <w:color w:val="000000" w:themeColor="text1"/>
        </w:rPr>
      </w:pPr>
      <w:r w:rsidRPr="00174104">
        <w:rPr>
          <w:rFonts w:ascii="Cambria" w:hAnsi="Cambria"/>
          <w:color w:val="000000" w:themeColor="text1"/>
        </w:rPr>
        <w:t>Office of the Secretary</w:t>
      </w:r>
    </w:p>
    <w:p w:rsidR="00DC669B" w:rsidRPr="00174104" w:rsidRDefault="00DC669B" w:rsidP="00DC669B">
      <w:pPr>
        <w:ind w:right="-347"/>
        <w:rPr>
          <w:rFonts w:ascii="Cambria" w:hAnsi="Cambria"/>
          <w:color w:val="000000" w:themeColor="text1"/>
        </w:rPr>
      </w:pPr>
      <w:r w:rsidRPr="00174104">
        <w:rPr>
          <w:rFonts w:ascii="Cambria" w:hAnsi="Cambria"/>
          <w:color w:val="000000" w:themeColor="text1"/>
        </w:rPr>
        <w:t>GPO Box 825</w:t>
      </w:r>
    </w:p>
    <w:p w:rsidR="00DC669B" w:rsidRPr="00174104" w:rsidRDefault="00DC669B" w:rsidP="00DC669B">
      <w:pPr>
        <w:ind w:right="-347"/>
        <w:rPr>
          <w:rFonts w:ascii="Cambria" w:hAnsi="Cambria"/>
          <w:color w:val="000000" w:themeColor="text1"/>
        </w:rPr>
      </w:pPr>
      <w:r w:rsidRPr="00174104">
        <w:rPr>
          <w:rFonts w:ascii="Cambria" w:hAnsi="Cambria"/>
          <w:color w:val="000000" w:themeColor="text1"/>
        </w:rPr>
        <w:t>Hobart TAS 7001</w:t>
      </w:r>
      <w:r w:rsidRPr="00174104">
        <w:rPr>
          <w:rFonts w:ascii="Cambria" w:hAnsi="Cambria"/>
          <w:color w:val="000000" w:themeColor="text1"/>
        </w:rPr>
        <w:tab/>
      </w:r>
    </w:p>
    <w:p w:rsidR="00DC669B" w:rsidRPr="00174104" w:rsidRDefault="00DC669B" w:rsidP="00B4632D">
      <w:pPr>
        <w:ind w:left="3600" w:right="-347" w:firstLine="720"/>
        <w:rPr>
          <w:rFonts w:ascii="Cambria" w:hAnsi="Cambria"/>
          <w:color w:val="000000" w:themeColor="text1"/>
        </w:rPr>
      </w:pPr>
      <w:r w:rsidRPr="00174104">
        <w:rPr>
          <w:rFonts w:ascii="Cambria" w:hAnsi="Cambria"/>
          <w:i/>
          <w:iCs/>
          <w:color w:val="000000" w:themeColor="text1"/>
        </w:rPr>
        <w:t xml:space="preserve">via email: </w:t>
      </w:r>
      <w:hyperlink r:id="rId8" w:history="1">
        <w:r w:rsidRPr="00174104">
          <w:rPr>
            <w:rStyle w:val="Hyperlink"/>
            <w:rFonts w:ascii="Cambria" w:hAnsi="Cambria"/>
            <w:i/>
            <w:iCs/>
          </w:rPr>
          <w:t>haveyoursay@justice.tas.gov.au</w:t>
        </w:r>
      </w:hyperlink>
      <w:r w:rsidRPr="00174104">
        <w:rPr>
          <w:rFonts w:ascii="Cambria" w:hAnsi="Cambria"/>
          <w:i/>
          <w:iCs/>
          <w:color w:val="000000" w:themeColor="text1"/>
        </w:rPr>
        <w:t xml:space="preserve"> </w:t>
      </w:r>
    </w:p>
    <w:p w:rsidR="00DC669B" w:rsidRPr="00174104" w:rsidRDefault="00DC669B" w:rsidP="00DC669B">
      <w:pPr>
        <w:ind w:right="-347"/>
        <w:rPr>
          <w:rFonts w:ascii="Cambria" w:hAnsi="Cambria"/>
          <w:color w:val="000000" w:themeColor="text1"/>
        </w:rPr>
      </w:pPr>
    </w:p>
    <w:p w:rsidR="00DC669B" w:rsidRPr="00174104" w:rsidRDefault="00DC669B" w:rsidP="00DC669B">
      <w:pPr>
        <w:ind w:right="-347"/>
        <w:rPr>
          <w:rFonts w:ascii="Cambria" w:hAnsi="Cambria"/>
          <w:color w:val="000000" w:themeColor="text1"/>
        </w:rPr>
      </w:pPr>
      <w:r w:rsidRPr="00174104">
        <w:rPr>
          <w:rFonts w:ascii="Cambria" w:hAnsi="Cambria"/>
          <w:color w:val="000000" w:themeColor="text1"/>
        </w:rPr>
        <w:t>To the Department of Justice,  </w:t>
      </w:r>
    </w:p>
    <w:p w:rsidR="00DC669B" w:rsidRPr="00174104" w:rsidRDefault="00DC669B" w:rsidP="00DC669B">
      <w:pPr>
        <w:pBdr>
          <w:bottom w:val="single" w:sz="6" w:space="1" w:color="auto"/>
        </w:pBdr>
        <w:ind w:right="-347"/>
        <w:rPr>
          <w:rFonts w:ascii="Cambria" w:hAnsi="Cambria"/>
          <w:b/>
          <w:color w:val="000000" w:themeColor="text1"/>
        </w:rPr>
      </w:pPr>
      <w:r w:rsidRPr="00174104">
        <w:rPr>
          <w:rFonts w:ascii="Cambria" w:hAnsi="Cambria"/>
          <w:b/>
          <w:color w:val="000000" w:themeColor="text1"/>
        </w:rPr>
        <w:t xml:space="preserve">Re: </w:t>
      </w:r>
      <w:r w:rsidRPr="00174104">
        <w:rPr>
          <w:rFonts w:ascii="Cambria" w:hAnsi="Cambria"/>
          <w:b/>
          <w:i/>
          <w:iCs/>
          <w:color w:val="000000" w:themeColor="text1"/>
        </w:rPr>
        <w:t>Sentencing Amendment (Aggravating Factors)  Bill 2025</w:t>
      </w:r>
    </w:p>
    <w:p w:rsidR="00DC669B" w:rsidRPr="00174104" w:rsidRDefault="00DC669B" w:rsidP="00DC669B">
      <w:pPr>
        <w:ind w:right="-347"/>
        <w:rPr>
          <w:rFonts w:ascii="Cambria" w:hAnsi="Cambria"/>
          <w:color w:val="000000" w:themeColor="text1"/>
        </w:rPr>
      </w:pPr>
    </w:p>
    <w:p w:rsidR="0071069F" w:rsidRDefault="00DC669B" w:rsidP="005C58A8">
      <w:pPr>
        <w:pStyle w:val="NoSpacing"/>
        <w:jc w:val="both"/>
        <w:rPr>
          <w:rFonts w:ascii="Cambria" w:hAnsi="Cambria"/>
          <w:iCs/>
          <w:color w:val="000000" w:themeColor="text1"/>
        </w:rPr>
      </w:pPr>
      <w:r w:rsidRPr="0071069F">
        <w:rPr>
          <w:rFonts w:ascii="Cambria" w:hAnsi="Cambria" w:cs="Calibri"/>
          <w:color w:val="000000" w:themeColor="text1"/>
        </w:rPr>
        <w:t>Community Legal Centres Tasmania (CLC Tas)</w:t>
      </w:r>
      <w:r w:rsidRPr="0071069F">
        <w:rPr>
          <w:rFonts w:ascii="Cambria" w:hAnsi="Cambria"/>
          <w:color w:val="000000" w:themeColor="text1"/>
        </w:rPr>
        <w:t xml:space="preserve"> welcomes the opportunity to provide comment</w:t>
      </w:r>
      <w:r w:rsidR="005C58A8" w:rsidRPr="0071069F">
        <w:rPr>
          <w:rFonts w:ascii="Cambria" w:hAnsi="Cambria"/>
          <w:color w:val="000000" w:themeColor="text1"/>
        </w:rPr>
        <w:t xml:space="preserve"> </w:t>
      </w:r>
      <w:r w:rsidRPr="0071069F">
        <w:rPr>
          <w:rFonts w:ascii="Cambria" w:hAnsi="Cambria"/>
          <w:color w:val="000000" w:themeColor="text1"/>
        </w:rPr>
        <w:t>on the</w:t>
      </w:r>
      <w:r w:rsidRPr="0071069F">
        <w:rPr>
          <w:rFonts w:ascii="Cambria" w:hAnsi="Cambria"/>
          <w:i/>
          <w:iCs/>
          <w:color w:val="000000" w:themeColor="text1"/>
        </w:rPr>
        <w:t xml:space="preserve"> Sentencing Amendment (Aggravating Factors)  Bill 2025</w:t>
      </w:r>
      <w:r w:rsidR="00B82A17" w:rsidRPr="0071069F">
        <w:rPr>
          <w:rFonts w:ascii="Cambria" w:hAnsi="Cambria"/>
          <w:i/>
          <w:iCs/>
          <w:color w:val="000000" w:themeColor="text1"/>
        </w:rPr>
        <w:t xml:space="preserve"> </w:t>
      </w:r>
      <w:r w:rsidR="00B82A17" w:rsidRPr="0071069F">
        <w:rPr>
          <w:rFonts w:ascii="Cambria" w:hAnsi="Cambria"/>
          <w:color w:val="000000" w:themeColor="text1"/>
        </w:rPr>
        <w:t>(‘the Bill’)</w:t>
      </w:r>
      <w:r w:rsidRPr="0071069F">
        <w:rPr>
          <w:rFonts w:ascii="Cambria" w:hAnsi="Cambria"/>
          <w:color w:val="000000" w:themeColor="text1"/>
        </w:rPr>
        <w:t>.</w:t>
      </w:r>
      <w:r w:rsidRPr="0071069F">
        <w:rPr>
          <w:rStyle w:val="FootnoteReference"/>
          <w:rFonts w:ascii="Cambria" w:hAnsi="Cambria"/>
          <w:iCs/>
          <w:color w:val="000000" w:themeColor="text1"/>
        </w:rPr>
        <w:footnoteReference w:id="1"/>
      </w:r>
      <w:r w:rsidRPr="0071069F">
        <w:rPr>
          <w:rFonts w:ascii="Cambria" w:hAnsi="Cambria"/>
          <w:iCs/>
          <w:color w:val="000000" w:themeColor="text1"/>
        </w:rPr>
        <w:t xml:space="preserve"> </w:t>
      </w:r>
      <w:r w:rsidR="00C20561" w:rsidRPr="0071069F">
        <w:rPr>
          <w:rFonts w:ascii="Cambria" w:hAnsi="Cambria"/>
          <w:iCs/>
          <w:color w:val="000000" w:themeColor="text1"/>
        </w:rPr>
        <w:t xml:space="preserve">Legislative recognition that hateful, prejudicial and opportunistic offending are aggravating factors in the sentencing process </w:t>
      </w:r>
      <w:r w:rsidR="002B1686" w:rsidRPr="0071069F">
        <w:rPr>
          <w:rFonts w:ascii="Cambria" w:hAnsi="Cambria"/>
          <w:iCs/>
          <w:color w:val="000000" w:themeColor="text1"/>
        </w:rPr>
        <w:t>is supported on the basis that such</w:t>
      </w:r>
      <w:r w:rsidR="00174104" w:rsidRPr="0071069F">
        <w:rPr>
          <w:rFonts w:ascii="Cambria" w:hAnsi="Cambria"/>
          <w:iCs/>
          <w:color w:val="000000" w:themeColor="text1"/>
        </w:rPr>
        <w:t xml:space="preserve"> conduct must be denounced. However, law reform </w:t>
      </w:r>
      <w:r w:rsidR="0071069F" w:rsidRPr="0071069F">
        <w:rPr>
          <w:rFonts w:ascii="Cambria" w:hAnsi="Cambria"/>
          <w:iCs/>
          <w:color w:val="000000" w:themeColor="text1"/>
        </w:rPr>
        <w:t>cannot occur in isolation with public awareness</w:t>
      </w:r>
      <w:r w:rsidR="0071069F">
        <w:rPr>
          <w:rFonts w:ascii="Cambria" w:hAnsi="Cambria"/>
          <w:iCs/>
          <w:color w:val="000000" w:themeColor="text1"/>
        </w:rPr>
        <w:t>,</w:t>
      </w:r>
      <w:r w:rsidR="0071069F" w:rsidRPr="0071069F">
        <w:rPr>
          <w:rFonts w:ascii="Cambria" w:hAnsi="Cambria"/>
          <w:iCs/>
          <w:color w:val="000000" w:themeColor="text1"/>
        </w:rPr>
        <w:t xml:space="preserve"> </w:t>
      </w:r>
      <w:r w:rsidR="00174104" w:rsidRPr="0071069F">
        <w:rPr>
          <w:rFonts w:ascii="Cambria" w:hAnsi="Cambria"/>
          <w:iCs/>
          <w:color w:val="000000" w:themeColor="text1"/>
        </w:rPr>
        <w:t>police training</w:t>
      </w:r>
      <w:r w:rsidR="0071069F" w:rsidRPr="0071069F">
        <w:rPr>
          <w:rFonts w:ascii="Cambria" w:hAnsi="Cambria"/>
          <w:iCs/>
          <w:color w:val="000000" w:themeColor="text1"/>
        </w:rPr>
        <w:t xml:space="preserve"> </w:t>
      </w:r>
      <w:r w:rsidR="0071069F">
        <w:rPr>
          <w:rFonts w:ascii="Cambria" w:hAnsi="Cambria"/>
          <w:iCs/>
          <w:color w:val="000000" w:themeColor="text1"/>
        </w:rPr>
        <w:t xml:space="preserve">and alternative sentencing options </w:t>
      </w:r>
      <w:r w:rsidR="0071069F" w:rsidRPr="0071069F">
        <w:rPr>
          <w:rFonts w:ascii="Cambria" w:hAnsi="Cambria"/>
          <w:iCs/>
          <w:color w:val="000000" w:themeColor="text1"/>
        </w:rPr>
        <w:t>also needed.</w:t>
      </w:r>
    </w:p>
    <w:p w:rsidR="0071069F" w:rsidRDefault="0071069F" w:rsidP="005C58A8">
      <w:pPr>
        <w:pStyle w:val="NoSpacing"/>
        <w:jc w:val="both"/>
        <w:rPr>
          <w:rFonts w:ascii="Cambria" w:hAnsi="Cambria"/>
          <w:iCs/>
          <w:color w:val="000000" w:themeColor="text1"/>
        </w:rPr>
      </w:pPr>
    </w:p>
    <w:p w:rsidR="005C58A8" w:rsidRPr="0071069F" w:rsidRDefault="00DC669B" w:rsidP="005C58A8">
      <w:pPr>
        <w:pStyle w:val="NoSpacing"/>
        <w:jc w:val="both"/>
        <w:rPr>
          <w:rFonts w:ascii="Cambria" w:hAnsi="Cambria"/>
          <w:iCs/>
          <w:color w:val="000000" w:themeColor="text1"/>
        </w:rPr>
      </w:pPr>
      <w:r w:rsidRPr="00174104">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5C58A8" w:rsidRPr="00174104" w:rsidRDefault="005C58A8" w:rsidP="005C58A8">
      <w:pPr>
        <w:pStyle w:val="NoSpacing"/>
        <w:jc w:val="both"/>
        <w:rPr>
          <w:rFonts w:ascii="Cambria" w:hAnsi="Cambria" w:cs="Arial"/>
          <w:color w:val="000000" w:themeColor="text1"/>
        </w:rPr>
      </w:pPr>
    </w:p>
    <w:p w:rsidR="00FC4CEC" w:rsidRPr="00174104" w:rsidRDefault="00FC4CEC" w:rsidP="00711070">
      <w:pPr>
        <w:ind w:right="-347"/>
        <w:jc w:val="both"/>
        <w:rPr>
          <w:rFonts w:ascii="Cambria" w:hAnsi="Cambria"/>
          <w:b/>
          <w:bCs/>
        </w:rPr>
      </w:pPr>
      <w:r w:rsidRPr="00174104">
        <w:rPr>
          <w:rFonts w:ascii="Cambria" w:hAnsi="Cambria"/>
          <w:b/>
          <w:bCs/>
        </w:rPr>
        <w:t>Background</w:t>
      </w:r>
    </w:p>
    <w:p w:rsidR="00E114DA" w:rsidRPr="00E114DA" w:rsidRDefault="00711070" w:rsidP="00E114DA">
      <w:pPr>
        <w:ind w:right="-347"/>
        <w:jc w:val="both"/>
        <w:rPr>
          <w:rFonts w:ascii="Cambria" w:hAnsi="Cambria"/>
        </w:rPr>
      </w:pPr>
      <w:r w:rsidRPr="00E114DA">
        <w:rPr>
          <w:rFonts w:ascii="Cambria" w:hAnsi="Cambria"/>
        </w:rPr>
        <w:t>Offences that are motivated by hatred or prejudice (‘hate crimes’) often cause a greater level of harm both because the victim suffers more physical, mental and emotional trauma and because a targeted attack on an individual because of their identity affects groups who share the same characteristic.</w:t>
      </w:r>
      <w:r w:rsidR="00E114DA" w:rsidRPr="00E114DA">
        <w:rPr>
          <w:rFonts w:ascii="Cambria" w:hAnsi="Cambria"/>
        </w:rPr>
        <w:t xml:space="preserve"> </w:t>
      </w:r>
      <w:r w:rsidRPr="00E114DA">
        <w:rPr>
          <w:rFonts w:ascii="Cambria" w:hAnsi="Cambria"/>
        </w:rPr>
        <w:t>This ripple effect may lead to increased levels of fear and vulnerability</w:t>
      </w:r>
      <w:r w:rsidR="00E114DA" w:rsidRPr="00E114DA">
        <w:rPr>
          <w:rFonts w:ascii="Cambria" w:hAnsi="Cambria"/>
        </w:rPr>
        <w:t xml:space="preserve"> as a</w:t>
      </w:r>
      <w:r w:rsidR="00E114DA" w:rsidRPr="00E114DA">
        <w:rPr>
          <w:rFonts w:ascii="Cambria" w:hAnsi="Cambria"/>
        </w:rPr>
        <w:t>cts that are motivated by prejudice against minority or other groups can also have a community impact and lead to or reinforce damaging stereotypes.</w:t>
      </w:r>
    </w:p>
    <w:p w:rsidR="00711070" w:rsidRPr="00174104" w:rsidRDefault="00711070" w:rsidP="00711070">
      <w:pPr>
        <w:ind w:right="-347"/>
        <w:jc w:val="both"/>
        <w:rPr>
          <w:rFonts w:ascii="Cambria" w:hAnsi="Cambria"/>
        </w:rPr>
      </w:pPr>
      <w:r w:rsidRPr="00174104">
        <w:rPr>
          <w:rFonts w:ascii="Cambria" w:hAnsi="Cambria"/>
        </w:rPr>
        <w:t xml:space="preserve"> </w:t>
      </w:r>
    </w:p>
    <w:p w:rsidR="00711070" w:rsidRPr="00174104" w:rsidRDefault="00711070" w:rsidP="00711070">
      <w:pPr>
        <w:ind w:right="-347"/>
        <w:jc w:val="both"/>
        <w:rPr>
          <w:rFonts w:ascii="Cambria" w:hAnsi="Cambria"/>
        </w:rPr>
      </w:pPr>
      <w:r w:rsidRPr="00174104">
        <w:rPr>
          <w:rFonts w:ascii="Cambria" w:hAnsi="Cambria"/>
        </w:rPr>
        <w:t xml:space="preserve">In 2011 the Tasmania Law Reform Institute (‘the TLRI’) published a report entitled </w:t>
      </w:r>
      <w:r w:rsidRPr="00174104">
        <w:rPr>
          <w:rFonts w:ascii="Cambria" w:hAnsi="Cambria"/>
          <w:i/>
          <w:iCs/>
        </w:rPr>
        <w:t>Racial Vilification and Racially Motivated Offences</w:t>
      </w:r>
      <w:r w:rsidRPr="00174104">
        <w:rPr>
          <w:rStyle w:val="FootnoteReference"/>
          <w:rFonts w:ascii="Cambria" w:hAnsi="Cambria"/>
        </w:rPr>
        <w:footnoteReference w:id="2"/>
      </w:r>
      <w:r w:rsidRPr="00174104">
        <w:rPr>
          <w:rFonts w:ascii="Cambria" w:hAnsi="Cambria"/>
        </w:rPr>
        <w:t xml:space="preserve"> which considered the adequacy of Tasmanian laws in relation to racial vilification and racially motivated offences and recommended the introduction of a sentence aggravation provision.</w:t>
      </w:r>
      <w:r w:rsidRPr="00174104">
        <w:rPr>
          <w:rStyle w:val="FootnoteReference"/>
          <w:rFonts w:ascii="Cambria" w:hAnsi="Cambria"/>
        </w:rPr>
        <w:footnoteReference w:id="3"/>
      </w:r>
      <w:r w:rsidRPr="00174104">
        <w:rPr>
          <w:rFonts w:ascii="Cambria" w:hAnsi="Cambria"/>
        </w:rPr>
        <w:t xml:space="preserve"> Whilst the TLRI acknowledged that </w:t>
      </w:r>
      <w:r w:rsidRPr="00174104">
        <w:rPr>
          <w:rFonts w:ascii="Cambria" w:hAnsi="Cambria"/>
        </w:rPr>
        <w:lastRenderedPageBreak/>
        <w:t>racially motivated offences are already recognised as a relevant sentencing consideration in common law,</w:t>
      </w:r>
      <w:r w:rsidRPr="00174104">
        <w:rPr>
          <w:rStyle w:val="FootnoteReference"/>
          <w:rFonts w:ascii="Cambria" w:hAnsi="Cambria"/>
        </w:rPr>
        <w:footnoteReference w:id="4"/>
      </w:r>
      <w:r w:rsidRPr="00174104">
        <w:rPr>
          <w:rFonts w:ascii="Cambria" w:hAnsi="Cambria"/>
        </w:rPr>
        <w:t xml:space="preserve"> law reform was recommended because “this alone does not necessarily have the same symbolic value or denunciative effect that a specific provision would”.</w:t>
      </w:r>
      <w:r w:rsidRPr="00174104">
        <w:rPr>
          <w:rStyle w:val="FootnoteReference"/>
          <w:rFonts w:ascii="Cambria" w:hAnsi="Cambria"/>
        </w:rPr>
        <w:footnoteReference w:id="5"/>
      </w:r>
    </w:p>
    <w:p w:rsidR="00711070" w:rsidRPr="00174104" w:rsidRDefault="00711070" w:rsidP="00711070">
      <w:pPr>
        <w:ind w:right="-347"/>
        <w:jc w:val="both"/>
        <w:rPr>
          <w:rFonts w:ascii="Cambria" w:hAnsi="Cambria"/>
        </w:rPr>
      </w:pPr>
    </w:p>
    <w:p w:rsidR="00711070" w:rsidRPr="00174104" w:rsidRDefault="00711070" w:rsidP="00711070">
      <w:pPr>
        <w:ind w:right="-347"/>
        <w:jc w:val="both"/>
        <w:rPr>
          <w:rFonts w:ascii="Cambria" w:hAnsi="Cambria" w:cs="Arial"/>
          <w:color w:val="000000"/>
          <w:shd w:val="clear" w:color="auto" w:fill="FFFFFF"/>
        </w:rPr>
      </w:pPr>
      <w:r w:rsidRPr="00174104">
        <w:rPr>
          <w:rFonts w:ascii="Cambria" w:hAnsi="Cambria"/>
        </w:rPr>
        <w:t xml:space="preserve">In 2017, Tasmania’s Parliament amended the </w:t>
      </w:r>
      <w:r w:rsidRPr="00174104">
        <w:rPr>
          <w:rFonts w:ascii="Cambria" w:hAnsi="Cambria"/>
          <w:i/>
          <w:iCs/>
        </w:rPr>
        <w:t>Sentencing Act 1997</w:t>
      </w:r>
      <w:r w:rsidRPr="00174104">
        <w:rPr>
          <w:rFonts w:ascii="Cambria" w:hAnsi="Cambria"/>
        </w:rPr>
        <w:t xml:space="preserve"> (Tas) with the introduction of section 11B which provides that a motivation of racial hatred or prejudice is a relevant aggravating factor in sentencing</w:t>
      </w:r>
      <w:r w:rsidRPr="00174104">
        <w:rPr>
          <w:rFonts w:ascii="Cambria" w:hAnsi="Cambria" w:cs="Arial"/>
          <w:color w:val="000000"/>
          <w:shd w:val="clear" w:color="auto" w:fill="FFFFFF"/>
        </w:rPr>
        <w:t xml:space="preserve">: </w:t>
      </w:r>
    </w:p>
    <w:p w:rsidR="00711070" w:rsidRPr="00174104" w:rsidRDefault="00711070" w:rsidP="00711070">
      <w:pPr>
        <w:ind w:right="-347"/>
        <w:jc w:val="both"/>
        <w:rPr>
          <w:rFonts w:ascii="Cambria" w:hAnsi="Cambria" w:cs="Arial"/>
          <w:color w:val="000000"/>
          <w:shd w:val="clear" w:color="auto" w:fill="FFFFFF"/>
        </w:rPr>
      </w:pPr>
    </w:p>
    <w:p w:rsidR="00711070" w:rsidRPr="00174104" w:rsidRDefault="00711070" w:rsidP="00711070">
      <w:pPr>
        <w:pStyle w:val="NoSpacing"/>
        <w:ind w:left="720"/>
        <w:rPr>
          <w:rFonts w:ascii="Cambria" w:hAnsi="Cambria"/>
          <w:b/>
          <w:bCs/>
          <w:i/>
          <w:iCs/>
        </w:rPr>
      </w:pPr>
      <w:r w:rsidRPr="00174104">
        <w:rPr>
          <w:rFonts w:ascii="Cambria" w:hAnsi="Cambria"/>
          <w:b/>
          <w:bCs/>
          <w:i/>
          <w:iCs/>
        </w:rPr>
        <w:t>11B. Racial motivation to be taken into account in sentencing offenders</w:t>
      </w:r>
    </w:p>
    <w:p w:rsidR="00711070" w:rsidRPr="00174104" w:rsidRDefault="00711070" w:rsidP="00711070">
      <w:pPr>
        <w:pStyle w:val="NoSpacing"/>
        <w:ind w:left="720"/>
        <w:rPr>
          <w:rFonts w:ascii="Cambria" w:hAnsi="Cambria"/>
          <w:i/>
          <w:iCs/>
        </w:rPr>
      </w:pPr>
      <w:r w:rsidRPr="00174104">
        <w:rPr>
          <w:rFonts w:ascii="Cambria" w:hAnsi="Cambria"/>
          <w:i/>
          <w:iCs/>
        </w:rPr>
        <w:t>In determining the appropriate sentence for an offender, the court is to take into account, as an aggravating circumstance in relation to the offence, whether the offence was motivated to any degree by –</w:t>
      </w:r>
      <w:bookmarkStart w:id="0" w:name="GS11B@Hpa@EN"/>
      <w:bookmarkEnd w:id="0"/>
    </w:p>
    <w:p w:rsidR="00711070" w:rsidRPr="00174104" w:rsidRDefault="00711070" w:rsidP="00711070">
      <w:pPr>
        <w:pStyle w:val="NoSpacing"/>
        <w:ind w:left="1440"/>
        <w:rPr>
          <w:rFonts w:ascii="Cambria" w:hAnsi="Cambria"/>
          <w:i/>
          <w:iCs/>
        </w:rPr>
      </w:pPr>
      <w:r w:rsidRPr="00174104">
        <w:rPr>
          <w:rFonts w:ascii="Cambria" w:hAnsi="Cambria"/>
          <w:i/>
          <w:iCs/>
        </w:rPr>
        <w:t>(a) hatred for or prejudice against, on racial grounds, any victim of the offence; or</w:t>
      </w:r>
    </w:p>
    <w:p w:rsidR="00711070" w:rsidRPr="00174104" w:rsidRDefault="00711070" w:rsidP="00711070">
      <w:pPr>
        <w:pStyle w:val="NoSpacing"/>
        <w:ind w:left="1440"/>
        <w:rPr>
          <w:rFonts w:ascii="Cambria" w:hAnsi="Cambria"/>
          <w:i/>
          <w:iCs/>
        </w:rPr>
      </w:pPr>
      <w:bookmarkStart w:id="1" w:name="GS11B@Hpb@EN"/>
      <w:bookmarkEnd w:id="1"/>
      <w:r w:rsidRPr="00174104">
        <w:rPr>
          <w:rFonts w:ascii="Cambria" w:hAnsi="Cambria"/>
          <w:i/>
          <w:iCs/>
        </w:rPr>
        <w:t>(b) hatred for or prejudice against, on racial grounds, a person or group of persons with whom at the relevant time any victim of the offence was associated or believed by the offender to have been associated.</w:t>
      </w:r>
    </w:p>
    <w:p w:rsidR="00711070" w:rsidRPr="00174104" w:rsidRDefault="00711070" w:rsidP="00711070">
      <w:pPr>
        <w:ind w:right="-347"/>
        <w:jc w:val="both"/>
        <w:rPr>
          <w:rFonts w:ascii="Cambria" w:hAnsi="Cambria"/>
        </w:rPr>
      </w:pPr>
    </w:p>
    <w:p w:rsidR="00711070" w:rsidRPr="00174104" w:rsidRDefault="00711070" w:rsidP="00711070">
      <w:pPr>
        <w:ind w:right="-347"/>
        <w:jc w:val="both"/>
        <w:rPr>
          <w:rFonts w:ascii="Cambria" w:hAnsi="Cambria"/>
        </w:rPr>
      </w:pPr>
      <w:r w:rsidRPr="00174104">
        <w:rPr>
          <w:rFonts w:ascii="Cambria" w:hAnsi="Cambria"/>
        </w:rPr>
        <w:t xml:space="preserve">Importantly, whilst section 11B requires Courts to take into account racial hatred as an aggravating factor, there is no mandatory requirement to increase the sentence, with the court continuing to retain the discretion as to the ultimate sentence imposed. </w:t>
      </w:r>
    </w:p>
    <w:p w:rsidR="00B82A17" w:rsidRPr="00174104" w:rsidRDefault="00B82A17" w:rsidP="00711070">
      <w:pPr>
        <w:ind w:right="-347"/>
        <w:jc w:val="both"/>
        <w:rPr>
          <w:rFonts w:ascii="Cambria" w:hAnsi="Cambria"/>
        </w:rPr>
      </w:pPr>
    </w:p>
    <w:p w:rsidR="00B82A17" w:rsidRPr="00174104" w:rsidRDefault="00B82A17" w:rsidP="00711070">
      <w:pPr>
        <w:ind w:right="-347"/>
        <w:jc w:val="both"/>
        <w:rPr>
          <w:rFonts w:ascii="Cambria" w:hAnsi="Cambria"/>
        </w:rPr>
      </w:pPr>
      <w:r w:rsidRPr="00174104">
        <w:rPr>
          <w:rFonts w:ascii="Cambria" w:hAnsi="Cambria"/>
        </w:rPr>
        <w:t xml:space="preserve">Following a request from the Tasmanian Attorney-General in January 2023, the Sentencing Advisory Council considered whether section 11B of the </w:t>
      </w:r>
      <w:r w:rsidRPr="00174104">
        <w:rPr>
          <w:rFonts w:ascii="Cambria" w:hAnsi="Cambria"/>
          <w:i/>
          <w:iCs/>
        </w:rPr>
        <w:t>Sentencing Act 1997</w:t>
      </w:r>
      <w:r w:rsidRPr="00174104">
        <w:rPr>
          <w:rFonts w:ascii="Cambria" w:hAnsi="Cambria"/>
        </w:rPr>
        <w:t xml:space="preserve"> (Tas) should be expanded to include other forms of prejudicially motivated offending. The final report </w:t>
      </w:r>
      <w:r w:rsidR="00FC4CEC" w:rsidRPr="00174104">
        <w:rPr>
          <w:rFonts w:ascii="Cambria" w:hAnsi="Cambria"/>
        </w:rPr>
        <w:t xml:space="preserve">released in February 2024 </w:t>
      </w:r>
      <w:r w:rsidRPr="00174104">
        <w:rPr>
          <w:rFonts w:ascii="Cambria" w:hAnsi="Cambria"/>
        </w:rPr>
        <w:t xml:space="preserve">recommended that section 11B of the </w:t>
      </w:r>
      <w:r w:rsidRPr="00174104">
        <w:rPr>
          <w:rFonts w:ascii="Cambria" w:hAnsi="Cambria"/>
          <w:i/>
          <w:iCs/>
        </w:rPr>
        <w:t>Sentencing Act 1997</w:t>
      </w:r>
      <w:r w:rsidRPr="00174104">
        <w:rPr>
          <w:rFonts w:ascii="Cambria" w:hAnsi="Cambria"/>
        </w:rPr>
        <w:t xml:space="preserve"> (Tas) be expanded to include other forms of prejudicially offending as aggravating factors in sentencing.</w:t>
      </w:r>
      <w:r w:rsidRPr="00174104">
        <w:rPr>
          <w:rStyle w:val="FootnoteReference"/>
          <w:rFonts w:ascii="Cambria" w:hAnsi="Cambria"/>
        </w:rPr>
        <w:footnoteReference w:id="6"/>
      </w:r>
      <w:r w:rsidRPr="00174104">
        <w:rPr>
          <w:rFonts w:ascii="Cambria" w:hAnsi="Cambria"/>
        </w:rPr>
        <w:t xml:space="preserve">   </w:t>
      </w:r>
    </w:p>
    <w:p w:rsidR="00711070" w:rsidRPr="00174104" w:rsidRDefault="00711070" w:rsidP="00711070">
      <w:pPr>
        <w:ind w:right="-347"/>
        <w:jc w:val="both"/>
        <w:rPr>
          <w:rFonts w:ascii="Cambria" w:hAnsi="Cambria"/>
        </w:rPr>
      </w:pPr>
    </w:p>
    <w:p w:rsidR="00FC4CEC" w:rsidRPr="00174104" w:rsidRDefault="00FC4CEC" w:rsidP="00711070">
      <w:pPr>
        <w:ind w:right="-347"/>
        <w:jc w:val="both"/>
        <w:rPr>
          <w:rFonts w:ascii="Cambria" w:hAnsi="Cambria"/>
          <w:b/>
          <w:bCs/>
        </w:rPr>
      </w:pPr>
      <w:r w:rsidRPr="00174104">
        <w:rPr>
          <w:rFonts w:ascii="Cambria" w:hAnsi="Cambria"/>
          <w:b/>
          <w:bCs/>
        </w:rPr>
        <w:t>The Bill</w:t>
      </w:r>
    </w:p>
    <w:p w:rsidR="00796A59" w:rsidRDefault="00711070" w:rsidP="00711070">
      <w:pPr>
        <w:ind w:right="-347"/>
        <w:jc w:val="both"/>
        <w:rPr>
          <w:rFonts w:ascii="Cambria" w:hAnsi="Cambria" w:cs="Arial"/>
          <w:color w:val="000000"/>
        </w:rPr>
      </w:pPr>
      <w:r w:rsidRPr="00174104">
        <w:rPr>
          <w:rFonts w:ascii="Cambria" w:hAnsi="Cambria"/>
        </w:rPr>
        <w:t xml:space="preserve">We support </w:t>
      </w:r>
      <w:r w:rsidR="00B866E1" w:rsidRPr="00174104">
        <w:rPr>
          <w:rFonts w:ascii="Cambria" w:hAnsi="Cambria"/>
        </w:rPr>
        <w:t xml:space="preserve">clause 5 of the Bill which will </w:t>
      </w:r>
      <w:r w:rsidRPr="00174104">
        <w:rPr>
          <w:rFonts w:ascii="Cambria" w:hAnsi="Cambria"/>
        </w:rPr>
        <w:t>expan</w:t>
      </w:r>
      <w:r w:rsidR="00B866E1" w:rsidRPr="00174104">
        <w:rPr>
          <w:rFonts w:ascii="Cambria" w:hAnsi="Cambria"/>
        </w:rPr>
        <w:t>d</w:t>
      </w:r>
      <w:r w:rsidRPr="00174104">
        <w:rPr>
          <w:rFonts w:ascii="Cambria" w:hAnsi="Cambria"/>
        </w:rPr>
        <w:t xml:space="preserve"> section 11B of the </w:t>
      </w:r>
      <w:r w:rsidRPr="00174104">
        <w:rPr>
          <w:rFonts w:ascii="Cambria" w:hAnsi="Cambria"/>
          <w:i/>
          <w:iCs/>
        </w:rPr>
        <w:t>Sentencing Act 1997</w:t>
      </w:r>
      <w:r w:rsidRPr="00174104">
        <w:rPr>
          <w:rFonts w:ascii="Cambria" w:hAnsi="Cambria"/>
        </w:rPr>
        <w:t xml:space="preserve"> (Tas) to include other forms of prejudicially motivated offending including </w:t>
      </w:r>
      <w:r w:rsidR="00B82A17" w:rsidRPr="00174104">
        <w:rPr>
          <w:rFonts w:ascii="Cambria" w:hAnsi="Cambria"/>
        </w:rPr>
        <w:t xml:space="preserve">race, </w:t>
      </w:r>
      <w:r w:rsidR="00B82A17" w:rsidRPr="00174104">
        <w:rPr>
          <w:rFonts w:ascii="Cambria" w:hAnsi="Cambria" w:cs="Arial"/>
          <w:color w:val="000000"/>
        </w:rPr>
        <w:t xml:space="preserve">religion, </w:t>
      </w:r>
      <w:r w:rsidRPr="00174104">
        <w:rPr>
          <w:rFonts w:ascii="Cambria" w:hAnsi="Cambria" w:cs="Arial"/>
          <w:color w:val="000000"/>
        </w:rPr>
        <w:t>sexual orientation, gender</w:t>
      </w:r>
      <w:r w:rsidR="00B82A17" w:rsidRPr="00174104">
        <w:rPr>
          <w:rFonts w:ascii="Cambria" w:hAnsi="Cambria" w:cs="Arial"/>
          <w:color w:val="000000"/>
        </w:rPr>
        <w:t xml:space="preserve"> </w:t>
      </w:r>
      <w:r w:rsidRPr="00174104">
        <w:rPr>
          <w:rFonts w:ascii="Cambria" w:hAnsi="Cambria" w:cs="Arial"/>
          <w:color w:val="000000"/>
        </w:rPr>
        <w:t>and disability.</w:t>
      </w:r>
      <w:r w:rsidR="00B82A17" w:rsidRPr="00174104">
        <w:rPr>
          <w:rStyle w:val="FootnoteReference"/>
          <w:rFonts w:ascii="Cambria" w:hAnsi="Cambria" w:cs="Arial"/>
          <w:color w:val="000000"/>
        </w:rPr>
        <w:footnoteReference w:id="7"/>
      </w:r>
      <w:r w:rsidRPr="00174104">
        <w:rPr>
          <w:rFonts w:ascii="Cambria" w:hAnsi="Cambria" w:cs="Arial"/>
          <w:color w:val="000000"/>
        </w:rPr>
        <w:t xml:space="preserve"> Whilst all prejudicially motivated offending is able to be taken into account in sentencing,</w:t>
      </w:r>
      <w:r w:rsidRPr="00174104">
        <w:rPr>
          <w:rStyle w:val="FootnoteReference"/>
          <w:rFonts w:ascii="Cambria" w:hAnsi="Cambria" w:cs="Arial"/>
          <w:color w:val="000000"/>
        </w:rPr>
        <w:footnoteReference w:id="8"/>
      </w:r>
      <w:r w:rsidRPr="00174104">
        <w:rPr>
          <w:rFonts w:ascii="Cambria" w:hAnsi="Cambria" w:cs="Arial"/>
          <w:color w:val="000000"/>
        </w:rPr>
        <w:t xml:space="preserve"> </w:t>
      </w:r>
      <w:r w:rsidR="004D7F4C" w:rsidRPr="00174104">
        <w:rPr>
          <w:rFonts w:ascii="Cambria" w:hAnsi="Cambria" w:cs="Arial"/>
          <w:color w:val="000000"/>
        </w:rPr>
        <w:t xml:space="preserve">as the Sentencing Advisory Council recently recommended, </w:t>
      </w:r>
      <w:r w:rsidRPr="00174104">
        <w:rPr>
          <w:rFonts w:ascii="Cambria" w:hAnsi="Cambria" w:cs="Arial"/>
          <w:color w:val="000000"/>
        </w:rPr>
        <w:t xml:space="preserve">the codification of a specific provision </w:t>
      </w:r>
      <w:r w:rsidR="004D7F4C" w:rsidRPr="00174104">
        <w:rPr>
          <w:rFonts w:ascii="Cambria" w:hAnsi="Cambria" w:cs="Arial"/>
          <w:color w:val="000000"/>
        </w:rPr>
        <w:t>reflects “the importance of symbolically denouncing certain conduct… even if the technicalities of the offending are covered by existing law”.</w:t>
      </w:r>
      <w:r w:rsidR="004D7F4C" w:rsidRPr="00174104">
        <w:rPr>
          <w:rStyle w:val="FootnoteReference"/>
          <w:rFonts w:ascii="Cambria" w:hAnsi="Cambria" w:cs="Arial"/>
          <w:color w:val="000000"/>
        </w:rPr>
        <w:footnoteReference w:id="9"/>
      </w:r>
      <w:r w:rsidR="004D7F4C" w:rsidRPr="00174104">
        <w:rPr>
          <w:rFonts w:ascii="Cambria" w:hAnsi="Cambria" w:cs="Arial"/>
          <w:color w:val="000000"/>
        </w:rPr>
        <w:t xml:space="preserve"> </w:t>
      </w:r>
      <w:r w:rsidR="00B866E1" w:rsidRPr="00174104">
        <w:rPr>
          <w:rFonts w:ascii="Cambria" w:hAnsi="Cambria" w:cs="Arial"/>
          <w:color w:val="000000"/>
        </w:rPr>
        <w:t>Th</w:t>
      </w:r>
      <w:r w:rsidR="00E114DA">
        <w:rPr>
          <w:rFonts w:ascii="Cambria" w:hAnsi="Cambria" w:cs="Arial"/>
          <w:color w:val="000000"/>
        </w:rPr>
        <w:t>e</w:t>
      </w:r>
      <w:r w:rsidR="00B866E1" w:rsidRPr="00174104">
        <w:rPr>
          <w:rFonts w:ascii="Cambria" w:hAnsi="Cambria" w:cs="Arial"/>
          <w:color w:val="000000"/>
        </w:rPr>
        <w:t xml:space="preserve"> amendment set out in Clause 5 provides an illustrative list of groups and attributes against whom prejudicial offending is directed. The use of the phrase ‘include, but is not limited to’ ensures that further legislative reform should not be required in the future when other groups or attributes are identified as requiring protection. </w:t>
      </w:r>
    </w:p>
    <w:p w:rsidR="00174104" w:rsidRPr="00174104" w:rsidRDefault="00174104" w:rsidP="00711070">
      <w:pPr>
        <w:ind w:right="-347"/>
        <w:jc w:val="both"/>
        <w:rPr>
          <w:rFonts w:ascii="Cambria" w:hAnsi="Cambria" w:cs="Arial"/>
          <w:color w:val="000000"/>
        </w:rPr>
      </w:pPr>
    </w:p>
    <w:p w:rsidR="00796A59" w:rsidRPr="00174104" w:rsidRDefault="00796A59" w:rsidP="00796A59">
      <w:pPr>
        <w:ind w:right="-347"/>
        <w:jc w:val="both"/>
        <w:rPr>
          <w:rFonts w:ascii="Cambria" w:hAnsi="Cambria"/>
        </w:rPr>
      </w:pPr>
      <w:r w:rsidRPr="00174104">
        <w:rPr>
          <w:rFonts w:ascii="Cambria" w:hAnsi="Cambria"/>
        </w:rPr>
        <w:lastRenderedPageBreak/>
        <w:t>As the law currently stands, section 11B of the Act requires the court to be satisfied that the offending was “motivated to any degree” by hatred or prejudice. This threshold is supported on the basis that convictions have proven difficult in jurisdictions such as NSW which do not recognise part motivation.</w:t>
      </w:r>
      <w:r w:rsidRPr="00174104">
        <w:rPr>
          <w:rStyle w:val="FootnoteReference"/>
          <w:rFonts w:ascii="Cambria" w:hAnsi="Cambria"/>
        </w:rPr>
        <w:footnoteReference w:id="10"/>
      </w:r>
      <w:r w:rsidR="00671980" w:rsidRPr="00174104">
        <w:rPr>
          <w:rFonts w:ascii="Cambria" w:hAnsi="Cambria"/>
        </w:rPr>
        <w:t xml:space="preserve"> </w:t>
      </w:r>
      <w:r w:rsidRPr="00174104">
        <w:rPr>
          <w:rFonts w:ascii="Cambria" w:hAnsi="Cambria"/>
        </w:rPr>
        <w:t>As the Tasmanian Aboriginal Legal Service notes in its response to the Sentencing Advisory Council, the recognition of part motivation as a test “is particularly relevant in cases where there is a possibility of multiple motives, or where attributes are assumed by the perpetrator - for example, an attack motivated by prejudice against homosexuals directed at an individual who the perpetrator assumes is homosexual based on dress alone”.</w:t>
      </w:r>
      <w:r w:rsidRPr="00174104">
        <w:rPr>
          <w:rStyle w:val="FootnoteReference"/>
          <w:rFonts w:ascii="Cambria" w:hAnsi="Cambria"/>
        </w:rPr>
        <w:footnoteReference w:id="11"/>
      </w:r>
      <w:r w:rsidRPr="00174104">
        <w:rPr>
          <w:rFonts w:ascii="Cambria" w:hAnsi="Cambria"/>
        </w:rPr>
        <w:t xml:space="preserve"> </w:t>
      </w:r>
    </w:p>
    <w:p w:rsidR="00796A59" w:rsidRPr="00174104" w:rsidRDefault="00796A59" w:rsidP="00796A59">
      <w:pPr>
        <w:ind w:right="-347"/>
        <w:jc w:val="both"/>
        <w:rPr>
          <w:rFonts w:ascii="Cambria" w:hAnsi="Cambria"/>
        </w:rPr>
      </w:pPr>
    </w:p>
    <w:p w:rsidR="00796A59" w:rsidRPr="00174104" w:rsidRDefault="00796A59" w:rsidP="00796A59">
      <w:pPr>
        <w:ind w:right="-347"/>
        <w:jc w:val="both"/>
        <w:rPr>
          <w:rFonts w:ascii="Cambria" w:hAnsi="Cambria"/>
        </w:rPr>
      </w:pPr>
      <w:r w:rsidRPr="00174104">
        <w:rPr>
          <w:rFonts w:ascii="Cambria" w:hAnsi="Cambria"/>
        </w:rPr>
        <w:t xml:space="preserve">We </w:t>
      </w:r>
      <w:r w:rsidR="0022508F" w:rsidRPr="00174104">
        <w:rPr>
          <w:rFonts w:ascii="Cambria" w:hAnsi="Cambria"/>
        </w:rPr>
        <w:t>strongly support the Bills</w:t>
      </w:r>
      <w:r w:rsidRPr="00174104">
        <w:rPr>
          <w:rFonts w:ascii="Cambria" w:hAnsi="Cambria"/>
        </w:rPr>
        <w:t xml:space="preserve"> focus on ‘hostility</w:t>
      </w:r>
      <w:r w:rsidR="0022508F" w:rsidRPr="00174104">
        <w:rPr>
          <w:rFonts w:ascii="Cambria" w:hAnsi="Cambria"/>
        </w:rPr>
        <w:t>, malice or ill-will</w:t>
      </w:r>
      <w:r w:rsidRPr="00174104">
        <w:rPr>
          <w:rFonts w:ascii="Cambria" w:hAnsi="Cambria"/>
        </w:rPr>
        <w:t xml:space="preserve">’ rather than </w:t>
      </w:r>
      <w:r w:rsidR="0022508F" w:rsidRPr="00174104">
        <w:rPr>
          <w:rFonts w:ascii="Cambria" w:hAnsi="Cambria"/>
        </w:rPr>
        <w:t>‘</w:t>
      </w:r>
      <w:r w:rsidRPr="00174104">
        <w:rPr>
          <w:rFonts w:ascii="Cambria" w:hAnsi="Cambria"/>
        </w:rPr>
        <w:t>hatred’ or ‘prejudice’ on the basis that</w:t>
      </w:r>
      <w:r w:rsidR="0022508F" w:rsidRPr="00174104">
        <w:rPr>
          <w:rFonts w:ascii="Cambria" w:hAnsi="Cambria"/>
        </w:rPr>
        <w:t xml:space="preserve"> </w:t>
      </w:r>
      <w:r w:rsidRPr="00174104">
        <w:rPr>
          <w:rFonts w:ascii="Cambria" w:hAnsi="Cambria"/>
        </w:rPr>
        <w:t>it requires the satisfaction of a lower threshold. We also support the</w:t>
      </w:r>
      <w:r w:rsidR="0022508F" w:rsidRPr="00174104">
        <w:rPr>
          <w:rFonts w:ascii="Cambria" w:hAnsi="Cambria"/>
        </w:rPr>
        <w:t xml:space="preserve"> </w:t>
      </w:r>
      <w:r w:rsidR="00174104" w:rsidRPr="00174104">
        <w:rPr>
          <w:rFonts w:ascii="Cambria" w:hAnsi="Cambria"/>
        </w:rPr>
        <w:t xml:space="preserve">Bill’s </w:t>
      </w:r>
      <w:r w:rsidRPr="00174104">
        <w:rPr>
          <w:rFonts w:ascii="Cambria" w:hAnsi="Cambria"/>
        </w:rPr>
        <w:t>use of the term</w:t>
      </w:r>
      <w:r w:rsidR="0022508F" w:rsidRPr="00174104">
        <w:rPr>
          <w:rFonts w:ascii="Cambria" w:hAnsi="Cambria"/>
        </w:rPr>
        <w:t xml:space="preserve"> </w:t>
      </w:r>
      <w:r w:rsidRPr="00174104">
        <w:rPr>
          <w:rFonts w:ascii="Cambria" w:hAnsi="Cambria"/>
          <w:i/>
          <w:iCs/>
        </w:rPr>
        <w:t>demonstrate</w:t>
      </w:r>
      <w:r w:rsidRPr="00174104">
        <w:rPr>
          <w:rFonts w:ascii="Cambria" w:hAnsi="Cambria"/>
        </w:rPr>
        <w:t xml:space="preserve"> hostility</w:t>
      </w:r>
      <w:r w:rsidR="0022508F" w:rsidRPr="00174104">
        <w:rPr>
          <w:rFonts w:ascii="Cambria" w:hAnsi="Cambria"/>
        </w:rPr>
        <w:t xml:space="preserve">, malice or ill-will rather than having to </w:t>
      </w:r>
      <w:r w:rsidR="00174104" w:rsidRPr="00174104">
        <w:rPr>
          <w:rFonts w:ascii="Cambria" w:hAnsi="Cambria"/>
        </w:rPr>
        <w:t xml:space="preserve">satisfy the high evidentiary bar of </w:t>
      </w:r>
      <w:r w:rsidR="0022508F" w:rsidRPr="00174104">
        <w:rPr>
          <w:rFonts w:ascii="Cambria" w:hAnsi="Cambria"/>
        </w:rPr>
        <w:t>prov</w:t>
      </w:r>
      <w:r w:rsidR="00174104" w:rsidRPr="00174104">
        <w:rPr>
          <w:rFonts w:ascii="Cambria" w:hAnsi="Cambria"/>
        </w:rPr>
        <w:t>ing</w:t>
      </w:r>
      <w:r w:rsidR="0022508F" w:rsidRPr="00174104">
        <w:rPr>
          <w:rFonts w:ascii="Cambria" w:hAnsi="Cambria"/>
        </w:rPr>
        <w:t xml:space="preserve"> that prejudicial motivation</w:t>
      </w:r>
      <w:r w:rsidR="00174104" w:rsidRPr="00174104">
        <w:rPr>
          <w:rFonts w:ascii="Cambria" w:hAnsi="Cambria"/>
        </w:rPr>
        <w:t xml:space="preserve"> was the sole cause of the offending. Both of these amendments were recommended by the Sentencing Advisory Council.</w:t>
      </w:r>
      <w:r w:rsidR="00174104" w:rsidRPr="00174104">
        <w:rPr>
          <w:rStyle w:val="FootnoteReference"/>
          <w:rFonts w:ascii="Cambria" w:hAnsi="Cambria"/>
        </w:rPr>
        <w:footnoteReference w:id="12"/>
      </w:r>
    </w:p>
    <w:p w:rsidR="00B82A17" w:rsidRPr="00174104" w:rsidRDefault="00B82A17" w:rsidP="00711070">
      <w:pPr>
        <w:ind w:right="-347"/>
        <w:jc w:val="both"/>
        <w:rPr>
          <w:rFonts w:ascii="Cambria" w:hAnsi="Cambria"/>
        </w:rPr>
      </w:pPr>
    </w:p>
    <w:p w:rsidR="00174104" w:rsidRPr="00174104" w:rsidRDefault="00711070" w:rsidP="00711070">
      <w:pPr>
        <w:ind w:right="-347"/>
        <w:jc w:val="both"/>
        <w:rPr>
          <w:rFonts w:ascii="Cambria" w:hAnsi="Cambria"/>
        </w:rPr>
      </w:pPr>
      <w:r w:rsidRPr="00174104">
        <w:rPr>
          <w:rFonts w:ascii="Cambria" w:hAnsi="Cambria"/>
        </w:rPr>
        <w:t xml:space="preserve">However, the expansion of section 11B of the </w:t>
      </w:r>
      <w:r w:rsidRPr="00174104">
        <w:rPr>
          <w:rFonts w:ascii="Cambria" w:hAnsi="Cambria"/>
          <w:i/>
          <w:iCs/>
        </w:rPr>
        <w:t>Sentencing Act 1997</w:t>
      </w:r>
      <w:r w:rsidRPr="00174104">
        <w:rPr>
          <w:rFonts w:ascii="Cambria" w:hAnsi="Cambria"/>
        </w:rPr>
        <w:t xml:space="preserve"> (Tas) to include other forms of prejudicially motivated offending cannot be introduced in isolation. Comprehensive reform must include </w:t>
      </w:r>
      <w:r w:rsidR="00134A3D" w:rsidRPr="00174104">
        <w:rPr>
          <w:rFonts w:ascii="Cambria" w:hAnsi="Cambria"/>
        </w:rPr>
        <w:t xml:space="preserve">improved </w:t>
      </w:r>
      <w:r w:rsidRPr="00174104">
        <w:rPr>
          <w:rFonts w:ascii="Cambria" w:hAnsi="Cambria"/>
        </w:rPr>
        <w:t xml:space="preserve">police </w:t>
      </w:r>
      <w:r w:rsidR="00134A3D" w:rsidRPr="00174104">
        <w:rPr>
          <w:rFonts w:ascii="Cambria" w:hAnsi="Cambria"/>
        </w:rPr>
        <w:t>education,</w:t>
      </w:r>
      <w:r w:rsidRPr="00174104">
        <w:rPr>
          <w:rFonts w:ascii="Cambria" w:hAnsi="Cambria"/>
        </w:rPr>
        <w:t xml:space="preserve"> train</w:t>
      </w:r>
      <w:r w:rsidR="00134A3D" w:rsidRPr="00174104">
        <w:rPr>
          <w:rFonts w:ascii="Cambria" w:hAnsi="Cambria"/>
        </w:rPr>
        <w:t xml:space="preserve">ing and reporting mechanisms </w:t>
      </w:r>
      <w:r w:rsidRPr="00174104">
        <w:rPr>
          <w:rFonts w:ascii="Cambria" w:hAnsi="Cambria"/>
        </w:rPr>
        <w:t xml:space="preserve">to identify prejudice motivation and support victims. </w:t>
      </w:r>
      <w:r w:rsidR="00174104" w:rsidRPr="00174104">
        <w:rPr>
          <w:rFonts w:ascii="Cambria" w:hAnsi="Cambria"/>
        </w:rPr>
        <w:t>We endorse the findings of the Tasmanian Prejudice Related Violence Working Group who recommended:</w:t>
      </w:r>
      <w:r w:rsidR="00174104" w:rsidRPr="00174104">
        <w:rPr>
          <w:rStyle w:val="FootnoteReference"/>
          <w:rFonts w:ascii="Cambria" w:hAnsi="Cambria"/>
        </w:rPr>
        <w:footnoteReference w:id="13"/>
      </w:r>
    </w:p>
    <w:p w:rsidR="00174104" w:rsidRPr="00174104" w:rsidRDefault="00174104" w:rsidP="00711070">
      <w:pPr>
        <w:ind w:right="-347"/>
        <w:jc w:val="both"/>
        <w:rPr>
          <w:rFonts w:ascii="Cambria" w:hAnsi="Cambria"/>
        </w:rPr>
      </w:pPr>
    </w:p>
    <w:p w:rsidR="00174104" w:rsidRPr="00174104" w:rsidRDefault="00174104" w:rsidP="00174104">
      <w:pPr>
        <w:ind w:left="360" w:right="-347"/>
        <w:jc w:val="both"/>
        <w:rPr>
          <w:rFonts w:ascii="Cambria" w:hAnsi="Cambria"/>
          <w:i/>
          <w:iCs/>
        </w:rPr>
      </w:pPr>
      <w:r w:rsidRPr="00174104">
        <w:rPr>
          <w:rFonts w:ascii="Cambria" w:hAnsi="Cambria"/>
          <w:i/>
          <w:iCs/>
        </w:rPr>
        <w:t>Tasmania Police allocate time and resources during recruit training to provide an overview of:</w:t>
      </w:r>
    </w:p>
    <w:p w:rsidR="00174104" w:rsidRPr="00174104" w:rsidRDefault="00174104" w:rsidP="00711070">
      <w:pPr>
        <w:ind w:right="-347"/>
        <w:jc w:val="both"/>
        <w:rPr>
          <w:rFonts w:ascii="Cambria" w:hAnsi="Cambria"/>
          <w:i/>
          <w:iCs/>
        </w:rPr>
      </w:pPr>
    </w:p>
    <w:p w:rsidR="00174104" w:rsidRPr="00174104" w:rsidRDefault="00174104" w:rsidP="00174104">
      <w:pPr>
        <w:pStyle w:val="ListParagraph"/>
        <w:numPr>
          <w:ilvl w:val="0"/>
          <w:numId w:val="5"/>
        </w:numPr>
        <w:ind w:right="-347"/>
        <w:jc w:val="both"/>
        <w:rPr>
          <w:rFonts w:ascii="Cambria" w:hAnsi="Cambria"/>
          <w:i/>
          <w:iCs/>
        </w:rPr>
      </w:pPr>
      <w:r w:rsidRPr="00174104">
        <w:rPr>
          <w:rFonts w:ascii="Cambria" w:hAnsi="Cambria"/>
          <w:i/>
          <w:iCs/>
        </w:rPr>
        <w:t xml:space="preserve">All forms of targeted violence; </w:t>
      </w:r>
    </w:p>
    <w:p w:rsidR="00174104" w:rsidRPr="00174104" w:rsidRDefault="00174104" w:rsidP="00174104">
      <w:pPr>
        <w:pStyle w:val="ListParagraph"/>
        <w:numPr>
          <w:ilvl w:val="0"/>
          <w:numId w:val="5"/>
        </w:numPr>
        <w:ind w:right="-347"/>
        <w:jc w:val="both"/>
        <w:rPr>
          <w:rFonts w:ascii="Cambria" w:hAnsi="Cambria"/>
          <w:i/>
          <w:iCs/>
        </w:rPr>
      </w:pPr>
      <w:r w:rsidRPr="00174104">
        <w:rPr>
          <w:rFonts w:ascii="Cambria" w:hAnsi="Cambria"/>
          <w:i/>
          <w:iCs/>
        </w:rPr>
        <w:t xml:space="preserve">The barriers to reporting such crimes; </w:t>
      </w:r>
    </w:p>
    <w:p w:rsidR="00174104" w:rsidRPr="00174104" w:rsidRDefault="00174104" w:rsidP="00174104">
      <w:pPr>
        <w:pStyle w:val="ListParagraph"/>
        <w:numPr>
          <w:ilvl w:val="0"/>
          <w:numId w:val="5"/>
        </w:numPr>
        <w:ind w:right="-347"/>
        <w:jc w:val="both"/>
        <w:rPr>
          <w:rFonts w:ascii="Cambria" w:hAnsi="Cambria"/>
          <w:i/>
          <w:iCs/>
        </w:rPr>
      </w:pPr>
      <w:r w:rsidRPr="00174104">
        <w:rPr>
          <w:rFonts w:ascii="Cambria" w:hAnsi="Cambria"/>
          <w:i/>
          <w:iCs/>
        </w:rPr>
        <w:t>The additional harms caused by these crimes; and</w:t>
      </w:r>
    </w:p>
    <w:p w:rsidR="00174104" w:rsidRPr="00174104" w:rsidRDefault="00174104" w:rsidP="00174104">
      <w:pPr>
        <w:pStyle w:val="ListParagraph"/>
        <w:numPr>
          <w:ilvl w:val="0"/>
          <w:numId w:val="5"/>
        </w:numPr>
        <w:ind w:right="-347"/>
        <w:jc w:val="both"/>
        <w:rPr>
          <w:rFonts w:ascii="Cambria" w:hAnsi="Cambria"/>
          <w:i/>
          <w:iCs/>
        </w:rPr>
      </w:pPr>
      <w:r w:rsidRPr="00174104">
        <w:rPr>
          <w:rFonts w:ascii="Cambria" w:hAnsi="Cambria"/>
          <w:i/>
          <w:iCs/>
        </w:rPr>
        <w:t xml:space="preserve">The additional support that may be required by victim survivors. </w:t>
      </w:r>
    </w:p>
    <w:p w:rsidR="00174104" w:rsidRPr="00174104" w:rsidRDefault="00174104" w:rsidP="00711070">
      <w:pPr>
        <w:ind w:right="-347"/>
        <w:jc w:val="both"/>
        <w:rPr>
          <w:rFonts w:ascii="Cambria" w:hAnsi="Cambria"/>
        </w:rPr>
      </w:pPr>
    </w:p>
    <w:p w:rsidR="00711070" w:rsidRPr="00174104" w:rsidRDefault="00174104" w:rsidP="00711070">
      <w:pPr>
        <w:ind w:right="-347"/>
        <w:jc w:val="both"/>
        <w:rPr>
          <w:rFonts w:ascii="Cambria" w:hAnsi="Cambria" w:cs="Arial"/>
          <w:color w:val="000000"/>
        </w:rPr>
      </w:pPr>
      <w:r w:rsidRPr="00174104">
        <w:rPr>
          <w:rFonts w:ascii="Cambria" w:hAnsi="Cambria"/>
        </w:rPr>
        <w:t xml:space="preserve">However, in our opinion, there is no reason why this work should be limited to new recruits, and we call on this police education to be mandatory across Tasmania Police. </w:t>
      </w:r>
      <w:r w:rsidR="00711070" w:rsidRPr="00174104">
        <w:rPr>
          <w:rFonts w:ascii="Cambria" w:hAnsi="Cambria"/>
        </w:rPr>
        <w:t xml:space="preserve">There also needs to be support for educational resources including training and public awareness campaigns to reduce prejudice and support victims of hate crimes.  </w:t>
      </w:r>
    </w:p>
    <w:p w:rsidR="00711070" w:rsidRPr="00174104" w:rsidRDefault="00711070" w:rsidP="00711070">
      <w:pPr>
        <w:ind w:right="-347"/>
        <w:jc w:val="both"/>
        <w:rPr>
          <w:rFonts w:ascii="Cambria" w:hAnsi="Cambria" w:cs="Arial"/>
          <w:color w:val="000000"/>
        </w:rPr>
      </w:pPr>
    </w:p>
    <w:p w:rsidR="00711070" w:rsidRPr="00174104" w:rsidRDefault="00174104" w:rsidP="00711070">
      <w:pPr>
        <w:ind w:right="-347"/>
        <w:jc w:val="both"/>
        <w:rPr>
          <w:rFonts w:ascii="Cambria" w:hAnsi="Cambria" w:cs="Arial"/>
          <w:color w:val="000000"/>
        </w:rPr>
      </w:pPr>
      <w:r w:rsidRPr="00174104">
        <w:rPr>
          <w:rFonts w:ascii="Cambria" w:hAnsi="Cambria"/>
        </w:rPr>
        <w:t>Finally,</w:t>
      </w:r>
      <w:r w:rsidR="00711070" w:rsidRPr="00174104">
        <w:rPr>
          <w:rFonts w:ascii="Cambria" w:hAnsi="Cambria"/>
        </w:rPr>
        <w:t xml:space="preserve"> </w:t>
      </w:r>
      <w:r w:rsidRPr="00174104">
        <w:rPr>
          <w:rFonts w:ascii="Cambria" w:hAnsi="Cambria"/>
        </w:rPr>
        <w:t xml:space="preserve">we </w:t>
      </w:r>
      <w:r w:rsidR="00711070" w:rsidRPr="00174104">
        <w:rPr>
          <w:rFonts w:ascii="Cambria" w:hAnsi="Cambria"/>
        </w:rPr>
        <w:t>also strongly believe that all judicial officers should be required to undertake ongoing education and professional development as is currently required in Victoria and New South Wales.</w:t>
      </w:r>
      <w:r w:rsidR="00711070" w:rsidRPr="00174104">
        <w:rPr>
          <w:rStyle w:val="FootnoteReference"/>
          <w:rFonts w:ascii="Cambria" w:hAnsi="Cambria"/>
        </w:rPr>
        <w:footnoteReference w:id="14"/>
      </w:r>
      <w:r w:rsidR="00711070" w:rsidRPr="00174104">
        <w:rPr>
          <w:rFonts w:ascii="Cambria" w:hAnsi="Cambria"/>
        </w:rPr>
        <w:t xml:space="preserve"> This training should include anti-discrimination training and the impact </w:t>
      </w:r>
      <w:r w:rsidR="00711070" w:rsidRPr="00174104">
        <w:rPr>
          <w:rFonts w:ascii="Cambria" w:hAnsi="Cambria"/>
        </w:rPr>
        <w:lastRenderedPageBreak/>
        <w:t>of hate crimes on minority groups.</w:t>
      </w:r>
      <w:r w:rsidR="0071069F">
        <w:rPr>
          <w:rFonts w:ascii="Cambria" w:hAnsi="Cambria"/>
        </w:rPr>
        <w:t xml:space="preserve"> The importance of this training is that </w:t>
      </w:r>
      <w:r w:rsidR="005D0845">
        <w:rPr>
          <w:rFonts w:ascii="Cambria" w:hAnsi="Cambria"/>
        </w:rPr>
        <w:t xml:space="preserve">judicial officers may choose to impose </w:t>
      </w:r>
      <w:r w:rsidR="0071069F">
        <w:rPr>
          <w:rFonts w:ascii="Cambria" w:hAnsi="Cambria"/>
        </w:rPr>
        <w:t>alternative sentencing options such as</w:t>
      </w:r>
      <w:r w:rsidR="005D0845">
        <w:rPr>
          <w:rFonts w:ascii="Cambria" w:hAnsi="Cambria"/>
        </w:rPr>
        <w:t xml:space="preserve"> a</w:t>
      </w:r>
      <w:r w:rsidR="0071069F">
        <w:rPr>
          <w:rFonts w:ascii="Cambria" w:hAnsi="Cambria"/>
        </w:rPr>
        <w:t xml:space="preserve"> </w:t>
      </w:r>
      <w:r w:rsidR="005D0845">
        <w:rPr>
          <w:rFonts w:ascii="Cambria" w:hAnsi="Cambria"/>
        </w:rPr>
        <w:t>‘</w:t>
      </w:r>
      <w:r w:rsidR="0071069F">
        <w:rPr>
          <w:rFonts w:ascii="Cambria" w:hAnsi="Cambria"/>
        </w:rPr>
        <w:t>rehabilitation program order’</w:t>
      </w:r>
      <w:r w:rsidR="005D0845">
        <w:rPr>
          <w:rFonts w:ascii="Cambria" w:hAnsi="Cambria"/>
        </w:rPr>
        <w:t xml:space="preserve"> in appropriate cases. </w:t>
      </w:r>
      <w:r w:rsidR="0071069F">
        <w:rPr>
          <w:rFonts w:ascii="Cambria" w:hAnsi="Cambria"/>
        </w:rPr>
        <w:t xml:space="preserve"> </w:t>
      </w:r>
      <w:r w:rsidR="00711070" w:rsidRPr="00174104">
        <w:rPr>
          <w:rFonts w:ascii="Cambria" w:hAnsi="Cambria"/>
        </w:rPr>
        <w:t xml:space="preserve"> </w:t>
      </w:r>
    </w:p>
    <w:p w:rsidR="002B1686" w:rsidRPr="00174104" w:rsidRDefault="002B1686" w:rsidP="00DC669B">
      <w:pPr>
        <w:ind w:right="-347"/>
        <w:jc w:val="both"/>
        <w:rPr>
          <w:rFonts w:ascii="Cambria" w:hAnsi="Cambria"/>
          <w:iCs/>
          <w:color w:val="000000" w:themeColor="text1"/>
        </w:rPr>
      </w:pPr>
    </w:p>
    <w:p w:rsidR="00DC669B" w:rsidRPr="00174104" w:rsidRDefault="00DC669B" w:rsidP="00DC669B">
      <w:pPr>
        <w:ind w:right="-347"/>
        <w:jc w:val="both"/>
        <w:rPr>
          <w:rFonts w:ascii="Cambria" w:hAnsi="Cambria"/>
          <w:iCs/>
          <w:color w:val="000000" w:themeColor="text1"/>
        </w:rPr>
      </w:pPr>
      <w:r w:rsidRPr="00174104">
        <w:rPr>
          <w:rFonts w:ascii="Cambria" w:hAnsi="Cambria"/>
          <w:iCs/>
          <w:color w:val="000000" w:themeColor="text1"/>
        </w:rPr>
        <w:t xml:space="preserve">If you have any queries, please do not hesitate to contact us. </w:t>
      </w:r>
    </w:p>
    <w:p w:rsidR="00DC669B" w:rsidRPr="00174104" w:rsidRDefault="00DC669B" w:rsidP="00DC669B">
      <w:pPr>
        <w:ind w:right="-347"/>
        <w:jc w:val="both"/>
        <w:rPr>
          <w:rFonts w:ascii="Cambria" w:hAnsi="Cambria"/>
          <w:iCs/>
          <w:color w:val="000000" w:themeColor="text1"/>
        </w:rPr>
      </w:pPr>
    </w:p>
    <w:p w:rsidR="00DC669B" w:rsidRPr="00174104" w:rsidRDefault="00DC669B" w:rsidP="00DC669B">
      <w:pPr>
        <w:ind w:right="-347"/>
        <w:jc w:val="both"/>
        <w:rPr>
          <w:rFonts w:ascii="Cambria" w:hAnsi="Cambria"/>
          <w:iCs/>
          <w:color w:val="000000" w:themeColor="text1"/>
        </w:rPr>
      </w:pPr>
    </w:p>
    <w:p w:rsidR="00DC669B" w:rsidRPr="00174104" w:rsidRDefault="00DC669B" w:rsidP="00DC669B">
      <w:pPr>
        <w:ind w:right="-347"/>
        <w:jc w:val="both"/>
        <w:rPr>
          <w:rFonts w:ascii="Cambria" w:hAnsi="Cambria"/>
          <w:iCs/>
          <w:color w:val="000000" w:themeColor="text1"/>
        </w:rPr>
      </w:pPr>
      <w:r w:rsidRPr="00174104">
        <w:rPr>
          <w:rFonts w:ascii="Cambria" w:hAnsi="Cambria"/>
          <w:iCs/>
          <w:color w:val="000000" w:themeColor="text1"/>
        </w:rPr>
        <w:t>Yours faithfully,</w:t>
      </w:r>
    </w:p>
    <w:p w:rsidR="00DC669B" w:rsidRPr="00174104" w:rsidRDefault="00DC669B" w:rsidP="00DC669B">
      <w:pPr>
        <w:ind w:right="-347"/>
        <w:jc w:val="both"/>
        <w:rPr>
          <w:rFonts w:ascii="Cambria" w:hAnsi="Cambria"/>
          <w:iCs/>
          <w:color w:val="000000" w:themeColor="text1"/>
        </w:rPr>
      </w:pPr>
    </w:p>
    <w:p w:rsidR="00DC669B" w:rsidRPr="00174104" w:rsidRDefault="00DC669B" w:rsidP="00DC669B">
      <w:pPr>
        <w:ind w:right="-347"/>
        <w:jc w:val="both"/>
        <w:rPr>
          <w:rFonts w:ascii="Cambria" w:hAnsi="Cambria"/>
          <w:iCs/>
          <w:color w:val="000000" w:themeColor="text1"/>
        </w:rPr>
      </w:pPr>
    </w:p>
    <w:p w:rsidR="00DC669B" w:rsidRPr="00174104" w:rsidRDefault="00DC669B" w:rsidP="00DC669B">
      <w:pPr>
        <w:ind w:right="-347"/>
        <w:jc w:val="both"/>
        <w:rPr>
          <w:rFonts w:ascii="Cambria" w:hAnsi="Cambria"/>
          <w:iCs/>
          <w:color w:val="000000" w:themeColor="text1"/>
        </w:rPr>
      </w:pPr>
    </w:p>
    <w:p w:rsidR="00DC669B" w:rsidRPr="00174104" w:rsidRDefault="00DC669B" w:rsidP="00DC669B">
      <w:pPr>
        <w:ind w:right="-347"/>
        <w:jc w:val="both"/>
        <w:rPr>
          <w:rFonts w:ascii="Cambria" w:hAnsi="Cambria"/>
          <w:iCs/>
          <w:color w:val="000000" w:themeColor="text1"/>
        </w:rPr>
      </w:pPr>
      <w:r w:rsidRPr="00174104">
        <w:rPr>
          <w:rFonts w:ascii="Cambria" w:hAnsi="Cambria"/>
          <w:iCs/>
          <w:color w:val="000000" w:themeColor="text1"/>
        </w:rPr>
        <w:t xml:space="preserve">Benedict </w:t>
      </w:r>
      <w:proofErr w:type="spellStart"/>
      <w:r w:rsidRPr="00174104">
        <w:rPr>
          <w:rFonts w:ascii="Cambria" w:hAnsi="Cambria"/>
          <w:iCs/>
          <w:color w:val="000000" w:themeColor="text1"/>
        </w:rPr>
        <w:t>Bartl</w:t>
      </w:r>
      <w:proofErr w:type="spellEnd"/>
    </w:p>
    <w:p w:rsidR="00DC669B" w:rsidRPr="00174104" w:rsidRDefault="00DC669B" w:rsidP="00DC669B">
      <w:pPr>
        <w:ind w:right="-347"/>
        <w:jc w:val="both"/>
        <w:rPr>
          <w:rFonts w:ascii="Cambria" w:hAnsi="Cambria"/>
          <w:iCs/>
          <w:color w:val="000000" w:themeColor="text1"/>
        </w:rPr>
      </w:pPr>
      <w:r w:rsidRPr="00174104">
        <w:rPr>
          <w:rFonts w:ascii="Cambria" w:hAnsi="Cambria"/>
          <w:iCs/>
          <w:color w:val="000000" w:themeColor="text1"/>
        </w:rPr>
        <w:t>Policy Officer</w:t>
      </w:r>
    </w:p>
    <w:p w:rsidR="00DC669B" w:rsidRPr="00174104" w:rsidRDefault="00DC669B" w:rsidP="00DC669B">
      <w:pPr>
        <w:pBdr>
          <w:bottom w:val="single" w:sz="6" w:space="1" w:color="auto"/>
        </w:pBdr>
        <w:ind w:right="-347"/>
        <w:jc w:val="both"/>
        <w:rPr>
          <w:rFonts w:ascii="Cambria" w:hAnsi="Cambria"/>
          <w:b/>
          <w:bCs/>
          <w:iCs/>
          <w:color w:val="000000" w:themeColor="text1"/>
        </w:rPr>
      </w:pPr>
      <w:r w:rsidRPr="00174104">
        <w:rPr>
          <w:rFonts w:ascii="Cambria" w:hAnsi="Cambria"/>
          <w:b/>
          <w:bCs/>
          <w:iCs/>
          <w:color w:val="000000" w:themeColor="text1"/>
        </w:rPr>
        <w:t>Community Legal Centres Tasmania</w:t>
      </w:r>
    </w:p>
    <w:p w:rsidR="00E1045D" w:rsidRDefault="00E1045D"/>
    <w:sectPr w:rsidR="00E1045D" w:rsidSect="00E24D45">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FC1" w:rsidRDefault="00D45FC1" w:rsidP="00DC669B">
      <w:r>
        <w:separator/>
      </w:r>
    </w:p>
  </w:endnote>
  <w:endnote w:type="continuationSeparator" w:id="0">
    <w:p w:rsidR="00D45FC1" w:rsidRDefault="00D45FC1" w:rsidP="00DC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525001"/>
      <w:docPartObj>
        <w:docPartGallery w:val="Page Numbers (Bottom of Page)"/>
        <w:docPartUnique/>
      </w:docPartObj>
    </w:sdtPr>
    <w:sdtContent>
      <w:p w:rsidR="00407011" w:rsidRDefault="00000000"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07011" w:rsidRDefault="00407011" w:rsidP="00C83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397805"/>
      <w:docPartObj>
        <w:docPartGallery w:val="Page Numbers (Bottom of Page)"/>
        <w:docPartUnique/>
      </w:docPartObj>
    </w:sdtPr>
    <w:sdtContent>
      <w:p w:rsidR="00407011" w:rsidRDefault="00000000"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07011" w:rsidRDefault="00407011" w:rsidP="00C83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FC1" w:rsidRDefault="00D45FC1" w:rsidP="00DC669B">
      <w:r>
        <w:separator/>
      </w:r>
    </w:p>
  </w:footnote>
  <w:footnote w:type="continuationSeparator" w:id="0">
    <w:p w:rsidR="00D45FC1" w:rsidRDefault="00D45FC1" w:rsidP="00DC669B">
      <w:r>
        <w:continuationSeparator/>
      </w:r>
    </w:p>
  </w:footnote>
  <w:footnote w:id="1">
    <w:p w:rsidR="00DC669B" w:rsidRPr="00711070" w:rsidRDefault="00DC669B" w:rsidP="00DC669B">
      <w:pPr>
        <w:pStyle w:val="FootnoteText"/>
        <w:rPr>
          <w:rFonts w:ascii="Cambria" w:hAnsi="Cambria"/>
          <w:color w:val="000000" w:themeColor="text1"/>
          <w:sz w:val="20"/>
          <w:szCs w:val="20"/>
        </w:rPr>
      </w:pPr>
      <w:r w:rsidRPr="00711070">
        <w:rPr>
          <w:rStyle w:val="FootnoteReference"/>
          <w:rFonts w:ascii="Cambria" w:hAnsi="Cambria"/>
          <w:color w:val="000000" w:themeColor="text1"/>
          <w:sz w:val="20"/>
          <w:szCs w:val="20"/>
        </w:rPr>
        <w:footnoteRef/>
      </w:r>
      <w:r w:rsidRPr="00711070">
        <w:rPr>
          <w:rFonts w:ascii="Cambria" w:hAnsi="Cambria"/>
          <w:color w:val="000000" w:themeColor="text1"/>
          <w:sz w:val="20"/>
          <w:szCs w:val="20"/>
        </w:rPr>
        <w:t xml:space="preserve"> CLC Tas would like to acknowledge those persons and organisations who gave freely of their time in assisting with our submission. </w:t>
      </w:r>
    </w:p>
  </w:footnote>
  <w:footnote w:id="2">
    <w:p w:rsidR="00711070" w:rsidRPr="00F44FC4" w:rsidRDefault="00711070" w:rsidP="00711070">
      <w:pPr>
        <w:pStyle w:val="FootnoteText"/>
        <w:rPr>
          <w:rFonts w:ascii="Cambria" w:hAnsi="Cambria"/>
          <w:sz w:val="20"/>
          <w:szCs w:val="20"/>
        </w:rPr>
      </w:pPr>
      <w:r w:rsidRPr="00F44FC4">
        <w:rPr>
          <w:rStyle w:val="FootnoteReference"/>
          <w:rFonts w:ascii="Cambria" w:hAnsi="Cambria"/>
          <w:sz w:val="20"/>
          <w:szCs w:val="20"/>
        </w:rPr>
        <w:footnoteRef/>
      </w:r>
      <w:r w:rsidRPr="00F44FC4">
        <w:rPr>
          <w:rFonts w:ascii="Cambria" w:hAnsi="Cambria"/>
          <w:sz w:val="20"/>
          <w:szCs w:val="20"/>
        </w:rPr>
        <w:t xml:space="preserve"> Tasmania Law Reform Institute, R</w:t>
      </w:r>
      <w:r w:rsidRPr="00F44FC4">
        <w:rPr>
          <w:rFonts w:ascii="Cambria" w:hAnsi="Cambria"/>
          <w:i/>
          <w:iCs/>
          <w:sz w:val="20"/>
          <w:szCs w:val="20"/>
        </w:rPr>
        <w:t>acial Vilification and Racially Motivated Offences</w:t>
      </w:r>
      <w:r w:rsidRPr="00F44FC4">
        <w:rPr>
          <w:rFonts w:ascii="Cambria" w:hAnsi="Cambria"/>
          <w:sz w:val="20"/>
          <w:szCs w:val="20"/>
        </w:rPr>
        <w:t xml:space="preserve"> (Final Report No. 14). </w:t>
      </w:r>
    </w:p>
  </w:footnote>
  <w:footnote w:id="3">
    <w:p w:rsidR="00711070" w:rsidRDefault="00711070" w:rsidP="00711070">
      <w:pPr>
        <w:pStyle w:val="FootnoteText"/>
      </w:pPr>
      <w:r w:rsidRPr="00F44FC4">
        <w:rPr>
          <w:rStyle w:val="FootnoteReference"/>
          <w:rFonts w:ascii="Cambria" w:hAnsi="Cambria"/>
          <w:sz w:val="20"/>
          <w:szCs w:val="20"/>
        </w:rPr>
        <w:footnoteRef/>
      </w:r>
      <w:r w:rsidRPr="00F44FC4">
        <w:rPr>
          <w:rFonts w:ascii="Cambria" w:hAnsi="Cambria"/>
          <w:sz w:val="20"/>
          <w:szCs w:val="20"/>
        </w:rPr>
        <w:t xml:space="preserve"> Tasmania Law Reform Institute, </w:t>
      </w:r>
      <w:r w:rsidRPr="00F44FC4">
        <w:rPr>
          <w:rFonts w:ascii="Cambria" w:hAnsi="Cambria"/>
          <w:i/>
          <w:iCs/>
          <w:sz w:val="20"/>
          <w:szCs w:val="20"/>
        </w:rPr>
        <w:t>Racial Vilification and Racially Motivated Offences</w:t>
      </w:r>
      <w:r w:rsidRPr="00F44FC4">
        <w:rPr>
          <w:rFonts w:ascii="Cambria" w:hAnsi="Cambria"/>
          <w:sz w:val="20"/>
          <w:szCs w:val="20"/>
        </w:rPr>
        <w:t xml:space="preserve"> (Final Report No. 14), Recommendation 5.</w:t>
      </w:r>
      <w:r>
        <w:rPr>
          <w:rFonts w:ascii="Cambria" w:hAnsi="Cambria"/>
        </w:rPr>
        <w:t xml:space="preserve"> </w:t>
      </w:r>
    </w:p>
  </w:footnote>
  <w:footnote w:id="4">
    <w:p w:rsidR="00711070" w:rsidRPr="00A20EFE" w:rsidRDefault="00711070" w:rsidP="00711070">
      <w:pPr>
        <w:pStyle w:val="FootnoteText"/>
        <w:rPr>
          <w:rFonts w:ascii="Cambria" w:hAnsi="Cambria"/>
          <w:sz w:val="20"/>
          <w:szCs w:val="20"/>
        </w:rPr>
      </w:pPr>
      <w:r w:rsidRPr="00A20EFE">
        <w:rPr>
          <w:rStyle w:val="FootnoteReference"/>
          <w:rFonts w:ascii="Cambria" w:hAnsi="Cambria"/>
          <w:sz w:val="20"/>
          <w:szCs w:val="20"/>
        </w:rPr>
        <w:footnoteRef/>
      </w:r>
      <w:r w:rsidRPr="00A20EFE">
        <w:rPr>
          <w:rFonts w:ascii="Cambria" w:hAnsi="Cambria"/>
          <w:sz w:val="20"/>
          <w:szCs w:val="20"/>
        </w:rPr>
        <w:t xml:space="preserve"> </w:t>
      </w:r>
      <w:r w:rsidRPr="00A20EFE">
        <w:rPr>
          <w:rFonts w:ascii="Cambria" w:hAnsi="Cambria"/>
          <w:i/>
          <w:iCs/>
          <w:sz w:val="20"/>
          <w:szCs w:val="20"/>
        </w:rPr>
        <w:t>Tasmania v Bigwood</w:t>
      </w:r>
      <w:r w:rsidRPr="00A20EFE">
        <w:rPr>
          <w:rFonts w:ascii="Cambria" w:hAnsi="Cambria"/>
          <w:sz w:val="20"/>
          <w:szCs w:val="20"/>
        </w:rPr>
        <w:t xml:space="preserve"> (unreported, Supreme Court of Tasmania, Evans J, 31 May 2010). </w:t>
      </w:r>
    </w:p>
  </w:footnote>
  <w:footnote w:id="5">
    <w:p w:rsidR="00711070" w:rsidRPr="00A20EFE" w:rsidRDefault="00711070" w:rsidP="00711070">
      <w:pPr>
        <w:pStyle w:val="FootnoteText"/>
        <w:rPr>
          <w:rFonts w:ascii="Cambria" w:hAnsi="Cambria"/>
          <w:sz w:val="20"/>
          <w:szCs w:val="20"/>
        </w:rPr>
      </w:pPr>
      <w:r w:rsidRPr="00A20EFE">
        <w:rPr>
          <w:rStyle w:val="FootnoteReference"/>
          <w:rFonts w:ascii="Cambria" w:hAnsi="Cambria"/>
          <w:sz w:val="20"/>
          <w:szCs w:val="20"/>
        </w:rPr>
        <w:footnoteRef/>
      </w:r>
      <w:r w:rsidRPr="00A20EFE">
        <w:rPr>
          <w:rFonts w:ascii="Cambria" w:hAnsi="Cambria"/>
          <w:sz w:val="20"/>
          <w:szCs w:val="20"/>
        </w:rPr>
        <w:t xml:space="preserve"> Tasmania Law Reform Institute, </w:t>
      </w:r>
      <w:r w:rsidRPr="00A20EFE">
        <w:rPr>
          <w:rFonts w:ascii="Cambria" w:hAnsi="Cambria"/>
          <w:i/>
          <w:iCs/>
          <w:sz w:val="20"/>
          <w:szCs w:val="20"/>
        </w:rPr>
        <w:t>Racial Vilification and Racially Motivated Offences</w:t>
      </w:r>
      <w:r w:rsidRPr="00A20EFE">
        <w:rPr>
          <w:rFonts w:ascii="Cambria" w:hAnsi="Cambria"/>
          <w:sz w:val="20"/>
          <w:szCs w:val="20"/>
        </w:rPr>
        <w:t xml:space="preserve"> (Final Report No. 14), Recommendation 5.</w:t>
      </w:r>
    </w:p>
  </w:footnote>
  <w:footnote w:id="6">
    <w:p w:rsidR="00B82A17" w:rsidRPr="00A20EFE" w:rsidRDefault="00B82A17">
      <w:pPr>
        <w:pStyle w:val="FootnoteText"/>
        <w:rPr>
          <w:rFonts w:ascii="Cambria" w:hAnsi="Cambria"/>
          <w:sz w:val="20"/>
          <w:szCs w:val="20"/>
        </w:rPr>
      </w:pPr>
      <w:r w:rsidRPr="00A20EFE">
        <w:rPr>
          <w:rStyle w:val="FootnoteReference"/>
          <w:rFonts w:ascii="Cambria" w:hAnsi="Cambria"/>
          <w:sz w:val="20"/>
          <w:szCs w:val="20"/>
        </w:rPr>
        <w:footnoteRef/>
      </w:r>
      <w:r w:rsidRPr="00A20EFE">
        <w:rPr>
          <w:rFonts w:ascii="Cambria" w:hAnsi="Cambria"/>
          <w:sz w:val="20"/>
          <w:szCs w:val="20"/>
        </w:rPr>
        <w:t xml:space="preserve"> Sentencing Advisory Council, </w:t>
      </w:r>
      <w:r w:rsidRPr="00A20EFE">
        <w:rPr>
          <w:rFonts w:ascii="Cambria" w:hAnsi="Cambria"/>
          <w:i/>
          <w:iCs/>
          <w:sz w:val="20"/>
          <w:szCs w:val="20"/>
        </w:rPr>
        <w:t>Prejudice and Discrimination as Aggravating Factors in Sentencing</w:t>
      </w:r>
      <w:r w:rsidRPr="00A20EFE">
        <w:rPr>
          <w:rFonts w:ascii="Cambria" w:hAnsi="Cambria"/>
          <w:sz w:val="20"/>
          <w:szCs w:val="20"/>
        </w:rPr>
        <w:t xml:space="preserve"> (Final Report: February 2024). </w:t>
      </w:r>
    </w:p>
  </w:footnote>
  <w:footnote w:id="7">
    <w:p w:rsidR="00B82A17" w:rsidRPr="00A20EFE" w:rsidRDefault="00B82A17">
      <w:pPr>
        <w:pStyle w:val="FootnoteText"/>
        <w:rPr>
          <w:rFonts w:ascii="Cambria" w:hAnsi="Cambria"/>
          <w:sz w:val="20"/>
          <w:szCs w:val="20"/>
        </w:rPr>
      </w:pPr>
      <w:r w:rsidRPr="00A20EFE">
        <w:rPr>
          <w:rStyle w:val="FootnoteReference"/>
          <w:rFonts w:ascii="Cambria" w:hAnsi="Cambria"/>
          <w:sz w:val="20"/>
          <w:szCs w:val="20"/>
        </w:rPr>
        <w:footnoteRef/>
      </w:r>
      <w:r w:rsidRPr="00A20EFE">
        <w:rPr>
          <w:rFonts w:ascii="Cambria" w:hAnsi="Cambria"/>
          <w:sz w:val="20"/>
          <w:szCs w:val="20"/>
        </w:rPr>
        <w:t xml:space="preserve"> Clause 5 of Bill. </w:t>
      </w:r>
    </w:p>
  </w:footnote>
  <w:footnote w:id="8">
    <w:p w:rsidR="00711070" w:rsidRPr="00A20EFE" w:rsidRDefault="00711070" w:rsidP="00711070">
      <w:pPr>
        <w:pStyle w:val="FootnoteText"/>
        <w:rPr>
          <w:rFonts w:ascii="Cambria" w:hAnsi="Cambria"/>
          <w:sz w:val="20"/>
          <w:szCs w:val="20"/>
        </w:rPr>
      </w:pPr>
      <w:r w:rsidRPr="00A20EFE">
        <w:rPr>
          <w:rStyle w:val="FootnoteReference"/>
          <w:rFonts w:ascii="Cambria" w:hAnsi="Cambria"/>
          <w:sz w:val="20"/>
          <w:szCs w:val="20"/>
        </w:rPr>
        <w:footnoteRef/>
      </w:r>
      <w:r w:rsidRPr="00A20EFE">
        <w:rPr>
          <w:rFonts w:ascii="Cambria" w:hAnsi="Cambria"/>
          <w:sz w:val="20"/>
          <w:szCs w:val="20"/>
        </w:rPr>
        <w:t xml:space="preserve"> Section 80(2)(a) of the </w:t>
      </w:r>
      <w:r w:rsidRPr="00A20EFE">
        <w:rPr>
          <w:rFonts w:ascii="Cambria" w:hAnsi="Cambria"/>
          <w:i/>
          <w:iCs/>
          <w:sz w:val="20"/>
          <w:szCs w:val="20"/>
        </w:rPr>
        <w:t>Sentencing Act 1997</w:t>
      </w:r>
      <w:r w:rsidRPr="00A20EFE">
        <w:rPr>
          <w:rFonts w:ascii="Cambria" w:hAnsi="Cambria"/>
          <w:sz w:val="20"/>
          <w:szCs w:val="20"/>
        </w:rPr>
        <w:t xml:space="preserve"> (Tas). </w:t>
      </w:r>
    </w:p>
  </w:footnote>
  <w:footnote w:id="9">
    <w:p w:rsidR="004D7F4C" w:rsidRPr="004D7F4C" w:rsidRDefault="004D7F4C">
      <w:pPr>
        <w:pStyle w:val="FootnoteText"/>
        <w:rPr>
          <w:rFonts w:ascii="Cambria" w:hAnsi="Cambria"/>
          <w:sz w:val="20"/>
          <w:szCs w:val="20"/>
        </w:rPr>
      </w:pPr>
      <w:r w:rsidRPr="00A20EFE">
        <w:rPr>
          <w:rStyle w:val="FootnoteReference"/>
          <w:rFonts w:ascii="Cambria" w:hAnsi="Cambria"/>
          <w:sz w:val="20"/>
          <w:szCs w:val="20"/>
        </w:rPr>
        <w:footnoteRef/>
      </w:r>
      <w:r w:rsidRPr="00A20EFE">
        <w:rPr>
          <w:rFonts w:ascii="Cambria" w:hAnsi="Cambria"/>
          <w:sz w:val="20"/>
          <w:szCs w:val="20"/>
        </w:rPr>
        <w:t xml:space="preserve"> Sentencing Advisory Council, </w:t>
      </w:r>
      <w:r w:rsidRPr="00A20EFE">
        <w:rPr>
          <w:rFonts w:ascii="Cambria" w:hAnsi="Cambria"/>
          <w:i/>
          <w:iCs/>
          <w:sz w:val="20"/>
          <w:szCs w:val="20"/>
        </w:rPr>
        <w:t>Prejudice and Discrimination as Aggravating Factors in Sentencing</w:t>
      </w:r>
      <w:r w:rsidRPr="00A20EFE">
        <w:rPr>
          <w:rFonts w:ascii="Cambria" w:hAnsi="Cambria"/>
          <w:sz w:val="20"/>
          <w:szCs w:val="20"/>
        </w:rPr>
        <w:t xml:space="preserve"> (Final Report: February 2024) at 15.</w:t>
      </w:r>
      <w:r w:rsidRPr="004D7F4C">
        <w:rPr>
          <w:rFonts w:ascii="Cambria" w:hAnsi="Cambria"/>
          <w:sz w:val="20"/>
          <w:szCs w:val="20"/>
        </w:rPr>
        <w:t xml:space="preserve">  </w:t>
      </w:r>
    </w:p>
  </w:footnote>
  <w:footnote w:id="10">
    <w:p w:rsidR="00796A59" w:rsidRPr="00F22520" w:rsidRDefault="00796A59" w:rsidP="00796A59">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Section 21A(2) of the </w:t>
      </w:r>
      <w:r w:rsidRPr="00F22520">
        <w:rPr>
          <w:rFonts w:ascii="Cambria" w:hAnsi="Cambria"/>
          <w:i/>
          <w:iCs/>
          <w:sz w:val="20"/>
          <w:szCs w:val="20"/>
        </w:rPr>
        <w:t>Crimes (Sentencing Procedure) Act 1999</w:t>
      </w:r>
      <w:r w:rsidRPr="00F22520">
        <w:rPr>
          <w:rFonts w:ascii="Cambria" w:hAnsi="Cambria"/>
          <w:sz w:val="20"/>
          <w:szCs w:val="20"/>
        </w:rPr>
        <w:t xml:space="preserve"> (NSW) provides that “the offence was motivated by hatred for or prejudice…” In the case of </w:t>
      </w:r>
      <w:r w:rsidRPr="00F22520">
        <w:rPr>
          <w:rFonts w:ascii="Cambria" w:hAnsi="Cambria"/>
          <w:i/>
          <w:iCs/>
          <w:sz w:val="20"/>
          <w:szCs w:val="20"/>
        </w:rPr>
        <w:t xml:space="preserve">R v </w:t>
      </w:r>
      <w:proofErr w:type="spellStart"/>
      <w:r w:rsidRPr="00F22520">
        <w:rPr>
          <w:rFonts w:ascii="Cambria" w:hAnsi="Cambria"/>
          <w:i/>
          <w:iCs/>
          <w:sz w:val="20"/>
          <w:szCs w:val="20"/>
        </w:rPr>
        <w:t>Aslett</w:t>
      </w:r>
      <w:proofErr w:type="spellEnd"/>
      <w:r w:rsidRPr="00F22520">
        <w:rPr>
          <w:rFonts w:ascii="Cambria" w:hAnsi="Cambria"/>
          <w:sz w:val="20"/>
          <w:szCs w:val="20"/>
        </w:rPr>
        <w:t xml:space="preserve"> [2006] NSWCCA 49 at para. [124] the NSW Court of Criminal Appeal held that the test in NSW required clear proof of hatred or prejudice felt by the perpetrator towards the victim group.  </w:t>
      </w:r>
    </w:p>
  </w:footnote>
  <w:footnote w:id="11">
    <w:p w:rsidR="00796A59" w:rsidRPr="00F22520" w:rsidRDefault="00796A59" w:rsidP="00796A59">
      <w:pPr>
        <w:pStyle w:val="FootnoteText"/>
        <w:rPr>
          <w:rFonts w:ascii="Cambria" w:hAnsi="Cambria"/>
          <w:sz w:val="20"/>
          <w:szCs w:val="20"/>
        </w:rPr>
      </w:pPr>
      <w:r w:rsidRPr="00F22520">
        <w:rPr>
          <w:rStyle w:val="FootnoteReference"/>
          <w:rFonts w:ascii="Cambria" w:hAnsi="Cambria"/>
          <w:sz w:val="20"/>
          <w:szCs w:val="20"/>
        </w:rPr>
        <w:footnoteRef/>
      </w:r>
      <w:r w:rsidRPr="00F22520">
        <w:rPr>
          <w:rFonts w:ascii="Cambria" w:hAnsi="Cambria"/>
          <w:sz w:val="20"/>
          <w:szCs w:val="20"/>
        </w:rPr>
        <w:t xml:space="preserve"> Tasmanian Aboriginal Legal Service, </w:t>
      </w:r>
      <w:r w:rsidRPr="00F22520">
        <w:rPr>
          <w:rFonts w:ascii="Cambria" w:hAnsi="Cambria"/>
          <w:i/>
          <w:iCs/>
          <w:sz w:val="20"/>
          <w:szCs w:val="20"/>
        </w:rPr>
        <w:t>Amendment of s11B of the Sentencing Act 1997 (Tas)</w:t>
      </w:r>
      <w:r w:rsidRPr="00F22520">
        <w:rPr>
          <w:rFonts w:ascii="Cambria" w:hAnsi="Cambria"/>
          <w:sz w:val="20"/>
          <w:szCs w:val="20"/>
        </w:rPr>
        <w:t xml:space="preserve"> submission. </w:t>
      </w:r>
    </w:p>
  </w:footnote>
  <w:footnote w:id="12">
    <w:p w:rsidR="00174104" w:rsidRDefault="00174104">
      <w:pPr>
        <w:pStyle w:val="FootnoteText"/>
      </w:pPr>
      <w:r>
        <w:rPr>
          <w:rStyle w:val="FootnoteReference"/>
        </w:rPr>
        <w:footnoteRef/>
      </w:r>
      <w:r>
        <w:t xml:space="preserve"> </w:t>
      </w:r>
      <w:r w:rsidRPr="00A20EFE">
        <w:rPr>
          <w:rFonts w:ascii="Cambria" w:hAnsi="Cambria"/>
          <w:sz w:val="20"/>
          <w:szCs w:val="20"/>
        </w:rPr>
        <w:t xml:space="preserve">Sentencing Advisory Council, </w:t>
      </w:r>
      <w:r w:rsidRPr="00A20EFE">
        <w:rPr>
          <w:rFonts w:ascii="Cambria" w:hAnsi="Cambria"/>
          <w:i/>
          <w:iCs/>
          <w:sz w:val="20"/>
          <w:szCs w:val="20"/>
        </w:rPr>
        <w:t>Prejudice and Discrimination as Aggravating Factors in Sentencing</w:t>
      </w:r>
      <w:r w:rsidRPr="00A20EFE">
        <w:rPr>
          <w:rFonts w:ascii="Cambria" w:hAnsi="Cambria"/>
          <w:sz w:val="20"/>
          <w:szCs w:val="20"/>
        </w:rPr>
        <w:t xml:space="preserve"> (Final Report: February 2024)</w:t>
      </w:r>
      <w:r>
        <w:rPr>
          <w:rFonts w:ascii="Cambria" w:hAnsi="Cambria"/>
          <w:sz w:val="20"/>
          <w:szCs w:val="20"/>
        </w:rPr>
        <w:t xml:space="preserve">, recommendation 3. </w:t>
      </w:r>
    </w:p>
  </w:footnote>
  <w:footnote w:id="13">
    <w:p w:rsidR="00174104" w:rsidRDefault="00174104">
      <w:pPr>
        <w:pStyle w:val="FootnoteText"/>
      </w:pPr>
      <w:r>
        <w:rPr>
          <w:rStyle w:val="FootnoteReference"/>
        </w:rPr>
        <w:footnoteRef/>
      </w:r>
      <w:r>
        <w:t xml:space="preserve"> </w:t>
      </w:r>
      <w:r w:rsidRPr="00A20EFE">
        <w:rPr>
          <w:rFonts w:ascii="Cambria" w:hAnsi="Cambria"/>
          <w:sz w:val="20"/>
          <w:szCs w:val="20"/>
        </w:rPr>
        <w:t xml:space="preserve">Sentencing Advisory Council, </w:t>
      </w:r>
      <w:r w:rsidRPr="00A20EFE">
        <w:rPr>
          <w:rFonts w:ascii="Cambria" w:hAnsi="Cambria"/>
          <w:i/>
          <w:iCs/>
          <w:sz w:val="20"/>
          <w:szCs w:val="20"/>
        </w:rPr>
        <w:t>Prejudice and Discrimination as Aggravating Factors in Sentencing</w:t>
      </w:r>
      <w:r w:rsidRPr="00A20EFE">
        <w:rPr>
          <w:rFonts w:ascii="Cambria" w:hAnsi="Cambria"/>
          <w:sz w:val="20"/>
          <w:szCs w:val="20"/>
        </w:rPr>
        <w:t xml:space="preserve"> (Final Report: February 2024) at </w:t>
      </w:r>
      <w:r>
        <w:rPr>
          <w:rFonts w:ascii="Cambria" w:hAnsi="Cambria"/>
          <w:sz w:val="20"/>
          <w:szCs w:val="20"/>
        </w:rPr>
        <w:t>Appendix B</w:t>
      </w:r>
      <w:r w:rsidRPr="00A20EFE">
        <w:rPr>
          <w:rFonts w:ascii="Cambria" w:hAnsi="Cambria"/>
          <w:sz w:val="20"/>
          <w:szCs w:val="20"/>
        </w:rPr>
        <w:t>.</w:t>
      </w:r>
      <w:r w:rsidRPr="004D7F4C">
        <w:rPr>
          <w:rFonts w:ascii="Cambria" w:hAnsi="Cambria"/>
          <w:sz w:val="20"/>
          <w:szCs w:val="20"/>
        </w:rPr>
        <w:t xml:space="preserve">  </w:t>
      </w:r>
    </w:p>
  </w:footnote>
  <w:footnote w:id="14">
    <w:p w:rsidR="00711070" w:rsidRPr="0092519E" w:rsidRDefault="00711070" w:rsidP="00711070">
      <w:pPr>
        <w:pStyle w:val="FootnoteText"/>
        <w:rPr>
          <w:rFonts w:ascii="Cambria" w:hAnsi="Cambria"/>
          <w:sz w:val="20"/>
          <w:szCs w:val="20"/>
        </w:rPr>
      </w:pPr>
      <w:r w:rsidRPr="0092519E">
        <w:rPr>
          <w:rStyle w:val="FootnoteReference"/>
          <w:rFonts w:ascii="Cambria" w:hAnsi="Cambria"/>
          <w:sz w:val="20"/>
          <w:szCs w:val="20"/>
        </w:rPr>
        <w:footnoteRef/>
      </w:r>
      <w:r w:rsidRPr="0092519E">
        <w:rPr>
          <w:rFonts w:ascii="Cambria" w:hAnsi="Cambria"/>
          <w:sz w:val="20"/>
          <w:szCs w:val="20"/>
        </w:rPr>
        <w:t xml:space="preserve"> The Judicial College of Victoria notes that it “is where the Victorian judiciary come for ongoing education and professional development. The Judicial Commission of New South Wales provides “a continuing education and training program for NSW judicial officers”. As found at </w:t>
      </w:r>
      <w:hyperlink r:id="rId1" w:history="1">
        <w:r w:rsidRPr="0092519E">
          <w:rPr>
            <w:rStyle w:val="Hyperlink"/>
            <w:rFonts w:ascii="Cambria" w:hAnsi="Cambria"/>
            <w:sz w:val="20"/>
            <w:szCs w:val="20"/>
          </w:rPr>
          <w:t>https://www.judicialcollege.vic.edu.au/about-us</w:t>
        </w:r>
      </w:hyperlink>
      <w:r w:rsidRPr="0092519E">
        <w:rPr>
          <w:rFonts w:ascii="Cambria" w:hAnsi="Cambria"/>
          <w:sz w:val="20"/>
          <w:szCs w:val="20"/>
        </w:rPr>
        <w:t xml:space="preserve"> and </w:t>
      </w:r>
      <w:hyperlink r:id="rId2" w:history="1">
        <w:r w:rsidRPr="0092519E">
          <w:rPr>
            <w:rStyle w:val="Hyperlink"/>
            <w:rFonts w:ascii="Cambria" w:hAnsi="Cambria"/>
            <w:sz w:val="20"/>
            <w:szCs w:val="20"/>
          </w:rPr>
          <w:t>https://www.judcom.nsw.gov.au/about-the-commission/</w:t>
        </w:r>
      </w:hyperlink>
      <w:r w:rsidRPr="0092519E">
        <w:rPr>
          <w:rFonts w:ascii="Cambria" w:hAnsi="Cambria"/>
          <w:sz w:val="20"/>
          <w:szCs w:val="20"/>
        </w:rPr>
        <w:t xml:space="preserve"> (accessed 28 September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57E9"/>
    <w:multiLevelType w:val="hybridMultilevel"/>
    <w:tmpl w:val="610A4CCA"/>
    <w:lvl w:ilvl="0" w:tplc="121061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CA421F"/>
    <w:multiLevelType w:val="hybridMultilevel"/>
    <w:tmpl w:val="07DCC6A2"/>
    <w:lvl w:ilvl="0" w:tplc="7C2ACD50">
      <w:start w:val="6"/>
      <w:numFmt w:val="bullet"/>
      <w:lvlText w:val="-"/>
      <w:lvlJc w:val="left"/>
      <w:pPr>
        <w:ind w:left="720" w:hanging="360"/>
      </w:pPr>
      <w:rPr>
        <w:rFonts w:ascii="Cambria" w:eastAsia="Times New Roman" w:hAnsi="Cambria"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13051"/>
    <w:multiLevelType w:val="hybridMultilevel"/>
    <w:tmpl w:val="C0AE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B5B2B"/>
    <w:multiLevelType w:val="hybridMultilevel"/>
    <w:tmpl w:val="61383202"/>
    <w:lvl w:ilvl="0" w:tplc="6CAA1906">
      <w:start w:val="6"/>
      <w:numFmt w:val="bullet"/>
      <w:lvlText w:val="-"/>
      <w:lvlJc w:val="left"/>
      <w:pPr>
        <w:ind w:left="720" w:hanging="360"/>
      </w:pPr>
      <w:rPr>
        <w:rFonts w:ascii="Cambria" w:eastAsia="Times New Roman"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C1147"/>
    <w:multiLevelType w:val="hybridMultilevel"/>
    <w:tmpl w:val="43FEF7FA"/>
    <w:lvl w:ilvl="0" w:tplc="AD507C68">
      <w:start w:val="2"/>
      <w:numFmt w:val="bullet"/>
      <w:lvlText w:val="-"/>
      <w:lvlJc w:val="left"/>
      <w:pPr>
        <w:ind w:left="720" w:hanging="360"/>
      </w:pPr>
      <w:rPr>
        <w:rFonts w:ascii="Cambria" w:eastAsia="Times New Roman"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874918">
    <w:abstractNumId w:val="4"/>
  </w:num>
  <w:num w:numId="2" w16cid:durableId="1217356340">
    <w:abstractNumId w:val="2"/>
  </w:num>
  <w:num w:numId="3" w16cid:durableId="1558785299">
    <w:abstractNumId w:val="1"/>
  </w:num>
  <w:num w:numId="4" w16cid:durableId="1485463369">
    <w:abstractNumId w:val="3"/>
  </w:num>
  <w:num w:numId="5" w16cid:durableId="123727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9B"/>
    <w:rsid w:val="00024572"/>
    <w:rsid w:val="000A0363"/>
    <w:rsid w:val="000E4CF0"/>
    <w:rsid w:val="00134A3D"/>
    <w:rsid w:val="00137687"/>
    <w:rsid w:val="00174104"/>
    <w:rsid w:val="00175689"/>
    <w:rsid w:val="00215FCE"/>
    <w:rsid w:val="0022508F"/>
    <w:rsid w:val="002B1686"/>
    <w:rsid w:val="002D46DF"/>
    <w:rsid w:val="002D4E85"/>
    <w:rsid w:val="00330FE3"/>
    <w:rsid w:val="00407011"/>
    <w:rsid w:val="004D7F4C"/>
    <w:rsid w:val="0055392F"/>
    <w:rsid w:val="005C58A8"/>
    <w:rsid w:val="005D0845"/>
    <w:rsid w:val="006070B9"/>
    <w:rsid w:val="00671980"/>
    <w:rsid w:val="0067746D"/>
    <w:rsid w:val="0071069F"/>
    <w:rsid w:val="00711070"/>
    <w:rsid w:val="00796A59"/>
    <w:rsid w:val="00925426"/>
    <w:rsid w:val="00A20EFE"/>
    <w:rsid w:val="00B14521"/>
    <w:rsid w:val="00B227F4"/>
    <w:rsid w:val="00B4632D"/>
    <w:rsid w:val="00B82A17"/>
    <w:rsid w:val="00B866E1"/>
    <w:rsid w:val="00C20561"/>
    <w:rsid w:val="00C83509"/>
    <w:rsid w:val="00D45FC1"/>
    <w:rsid w:val="00D75B8F"/>
    <w:rsid w:val="00DC669B"/>
    <w:rsid w:val="00E1045D"/>
    <w:rsid w:val="00E114DA"/>
    <w:rsid w:val="00E246DF"/>
    <w:rsid w:val="00E44AEB"/>
    <w:rsid w:val="00EE35D5"/>
    <w:rsid w:val="00FC4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14F5580"/>
  <w15:chartTrackingRefBased/>
  <w15:docId w15:val="{87125D11-09A8-A844-AEF5-4D48D10F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69B"/>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DC669B"/>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DC669B"/>
    <w:rPr>
      <w:rFonts w:ascii="Times New Roman" w:eastAsia="Times New Roman" w:hAnsi="Times New Roman" w:cs="Times New Roman"/>
      <w:kern w:val="0"/>
      <w:lang w:eastAsia="en-GB"/>
      <w14:ligatures w14:val="none"/>
    </w:rPr>
  </w:style>
  <w:style w:type="character" w:styleId="FootnoteReference">
    <w:name w:val="footnote reference"/>
    <w:aliases w:val="Footnotes refss,Ref,de nota al pie"/>
    <w:basedOn w:val="DefaultParagraphFont"/>
    <w:uiPriority w:val="99"/>
    <w:unhideWhenUsed/>
    <w:qFormat/>
    <w:rsid w:val="00DC669B"/>
    <w:rPr>
      <w:vertAlign w:val="superscript"/>
    </w:rPr>
  </w:style>
  <w:style w:type="paragraph" w:styleId="Footer">
    <w:name w:val="footer"/>
    <w:basedOn w:val="Normal"/>
    <w:link w:val="FooterChar"/>
    <w:uiPriority w:val="99"/>
    <w:unhideWhenUsed/>
    <w:rsid w:val="00DC669B"/>
    <w:pPr>
      <w:tabs>
        <w:tab w:val="center" w:pos="4513"/>
        <w:tab w:val="right" w:pos="9026"/>
      </w:tabs>
    </w:pPr>
  </w:style>
  <w:style w:type="character" w:customStyle="1" w:styleId="FooterChar">
    <w:name w:val="Footer Char"/>
    <w:basedOn w:val="DefaultParagraphFont"/>
    <w:link w:val="Footer"/>
    <w:uiPriority w:val="99"/>
    <w:rsid w:val="00DC669B"/>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DC669B"/>
  </w:style>
  <w:style w:type="paragraph" w:styleId="NoSpacing">
    <w:name w:val="No Spacing"/>
    <w:uiPriority w:val="1"/>
    <w:qFormat/>
    <w:rsid w:val="00DC669B"/>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DC669B"/>
    <w:pPr>
      <w:ind w:left="720"/>
      <w:contextualSpacing/>
    </w:pPr>
  </w:style>
  <w:style w:type="character" w:styleId="Hyperlink">
    <w:name w:val="Hyperlink"/>
    <w:basedOn w:val="DefaultParagraphFont"/>
    <w:uiPriority w:val="99"/>
    <w:unhideWhenUsed/>
    <w:rsid w:val="00DC669B"/>
    <w:rPr>
      <w:color w:val="0563C1" w:themeColor="hyperlink"/>
      <w:u w:val="single"/>
    </w:rPr>
  </w:style>
  <w:style w:type="paragraph" w:styleId="NormalWeb">
    <w:name w:val="Normal (Web)"/>
    <w:basedOn w:val="Normal"/>
    <w:uiPriority w:val="99"/>
    <w:semiHidden/>
    <w:unhideWhenUsed/>
    <w:rsid w:val="005C58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264913">
      <w:bodyDiv w:val="1"/>
      <w:marLeft w:val="0"/>
      <w:marRight w:val="0"/>
      <w:marTop w:val="0"/>
      <w:marBottom w:val="0"/>
      <w:divBdr>
        <w:top w:val="none" w:sz="0" w:space="0" w:color="auto"/>
        <w:left w:val="none" w:sz="0" w:space="0" w:color="auto"/>
        <w:bottom w:val="none" w:sz="0" w:space="0" w:color="auto"/>
        <w:right w:val="none" w:sz="0" w:space="0" w:color="auto"/>
      </w:divBdr>
      <w:divsChild>
        <w:div w:id="707485732">
          <w:marLeft w:val="0"/>
          <w:marRight w:val="0"/>
          <w:marTop w:val="0"/>
          <w:marBottom w:val="0"/>
          <w:divBdr>
            <w:top w:val="none" w:sz="0" w:space="0" w:color="auto"/>
            <w:left w:val="none" w:sz="0" w:space="0" w:color="auto"/>
            <w:bottom w:val="none" w:sz="0" w:space="0" w:color="auto"/>
            <w:right w:val="none" w:sz="0" w:space="0" w:color="auto"/>
          </w:divBdr>
        </w:div>
        <w:div w:id="1779791861">
          <w:marLeft w:val="0"/>
          <w:marRight w:val="0"/>
          <w:marTop w:val="0"/>
          <w:marBottom w:val="0"/>
          <w:divBdr>
            <w:top w:val="none" w:sz="0" w:space="0" w:color="auto"/>
            <w:left w:val="none" w:sz="0" w:space="0" w:color="auto"/>
            <w:bottom w:val="none" w:sz="0" w:space="0" w:color="auto"/>
            <w:right w:val="none" w:sz="0" w:space="0" w:color="auto"/>
          </w:divBdr>
        </w:div>
        <w:div w:id="463428072">
          <w:marLeft w:val="0"/>
          <w:marRight w:val="0"/>
          <w:marTop w:val="0"/>
          <w:marBottom w:val="0"/>
          <w:divBdr>
            <w:top w:val="none" w:sz="0" w:space="0" w:color="auto"/>
            <w:left w:val="none" w:sz="0" w:space="0" w:color="auto"/>
            <w:bottom w:val="none" w:sz="0" w:space="0" w:color="auto"/>
            <w:right w:val="none" w:sz="0" w:space="0" w:color="auto"/>
          </w:divBdr>
        </w:div>
        <w:div w:id="789590096">
          <w:marLeft w:val="0"/>
          <w:marRight w:val="0"/>
          <w:marTop w:val="0"/>
          <w:marBottom w:val="0"/>
          <w:divBdr>
            <w:top w:val="none" w:sz="0" w:space="0" w:color="auto"/>
            <w:left w:val="none" w:sz="0" w:space="0" w:color="auto"/>
            <w:bottom w:val="none" w:sz="0" w:space="0" w:color="auto"/>
            <w:right w:val="none" w:sz="0" w:space="0" w:color="auto"/>
          </w:divBdr>
        </w:div>
        <w:div w:id="2010408134">
          <w:marLeft w:val="0"/>
          <w:marRight w:val="0"/>
          <w:marTop w:val="0"/>
          <w:marBottom w:val="0"/>
          <w:divBdr>
            <w:top w:val="none" w:sz="0" w:space="0" w:color="auto"/>
            <w:left w:val="none" w:sz="0" w:space="0" w:color="auto"/>
            <w:bottom w:val="none" w:sz="0" w:space="0" w:color="auto"/>
            <w:right w:val="none" w:sz="0" w:space="0" w:color="auto"/>
          </w:divBdr>
        </w:div>
        <w:div w:id="836305194">
          <w:marLeft w:val="0"/>
          <w:marRight w:val="0"/>
          <w:marTop w:val="0"/>
          <w:marBottom w:val="0"/>
          <w:divBdr>
            <w:top w:val="none" w:sz="0" w:space="0" w:color="auto"/>
            <w:left w:val="none" w:sz="0" w:space="0" w:color="auto"/>
            <w:bottom w:val="none" w:sz="0" w:space="0" w:color="auto"/>
            <w:right w:val="none" w:sz="0" w:space="0" w:color="auto"/>
          </w:divBdr>
        </w:div>
        <w:div w:id="1112361915">
          <w:marLeft w:val="0"/>
          <w:marRight w:val="0"/>
          <w:marTop w:val="0"/>
          <w:marBottom w:val="0"/>
          <w:divBdr>
            <w:top w:val="none" w:sz="0" w:space="0" w:color="auto"/>
            <w:left w:val="none" w:sz="0" w:space="0" w:color="auto"/>
            <w:bottom w:val="none" w:sz="0" w:space="0" w:color="auto"/>
            <w:right w:val="none" w:sz="0" w:space="0" w:color="auto"/>
          </w:divBdr>
        </w:div>
      </w:divsChild>
    </w:div>
    <w:div w:id="20668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judcom.nsw.gov.au/about-the-commission/" TargetMode="External"/><Relationship Id="rId1" Type="http://schemas.openxmlformats.org/officeDocument/2006/relationships/hyperlink" Target="https://www.judicialcollege.vic.edu.au/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2025-03-23T22:40:00Z</cp:lastPrinted>
  <dcterms:created xsi:type="dcterms:W3CDTF">2025-03-17T22:14:00Z</dcterms:created>
  <dcterms:modified xsi:type="dcterms:W3CDTF">2025-03-23T22:55:00Z</dcterms:modified>
</cp:coreProperties>
</file>